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14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7A49A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Due date: 30 / 04 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5608" w:rsidRDefault="0033329B" w:rsidP="005456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545608">
        <w:rPr>
          <w:rFonts w:eastAsia="Times New Roman" w:cstheme="minorHAnsi"/>
          <w:b/>
          <w:color w:val="000000"/>
          <w:sz w:val="24"/>
          <w:szCs w:val="24"/>
        </w:rPr>
        <w:t>4 Channel 6 kV/3 mA (6</w:t>
      </w:r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>W)</w:t>
      </w:r>
      <w:r w:rsidR="00545608">
        <w:rPr>
          <w:rFonts w:eastAsia="Times New Roman" w:cstheme="minorHAnsi"/>
          <w:b/>
          <w:color w:val="000000"/>
          <w:sz w:val="24"/>
          <w:szCs w:val="24"/>
        </w:rPr>
        <w:t xml:space="preserve"> NIM</w:t>
      </w:r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 xml:space="preserve"> HV Power Supply</w:t>
      </w: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</w:t>
      </w:r>
      <w:proofErr w:type="gramEnd"/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545608" w:rsidRDefault="0033329B" w:rsidP="005456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specification for </w:t>
      </w:r>
      <w:r w:rsidR="00545608">
        <w:rPr>
          <w:rFonts w:eastAsia="Times New Roman" w:cstheme="minorHAnsi"/>
          <w:b/>
          <w:color w:val="000000"/>
          <w:sz w:val="24"/>
          <w:szCs w:val="24"/>
        </w:rPr>
        <w:t>4 Channel 6 kV/3 mA (6</w:t>
      </w:r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>W)</w:t>
      </w:r>
      <w:r w:rsidR="00545608">
        <w:rPr>
          <w:rFonts w:eastAsia="Times New Roman" w:cstheme="minorHAnsi"/>
          <w:b/>
          <w:color w:val="000000"/>
          <w:sz w:val="24"/>
          <w:szCs w:val="24"/>
        </w:rPr>
        <w:t xml:space="preserve"> NIM</w:t>
      </w:r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 xml:space="preserve"> HV Power Supply</w:t>
      </w:r>
    </w:p>
    <w:p w:rsidR="0033329B" w:rsidRDefault="0033329B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(Quantity 1 – 5 nos. please quote unit price)</w:t>
      </w:r>
      <w:r w:rsidR="00FE33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B6FD4" w:rsidRDefault="00AB6FD4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736"/>
        <w:gridCol w:w="2774"/>
        <w:gridCol w:w="5850"/>
      </w:tblGrid>
      <w:tr w:rsidR="00AB6FD4" w:rsidRPr="00545608" w:rsidTr="001130F1">
        <w:trPr>
          <w:trHeight w:val="64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6FD4" w:rsidRPr="00545608" w:rsidRDefault="00545608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Channel 6 kV/3 mA (6</w:t>
            </w:r>
            <w:r w:rsidR="00AB6FD4" w:rsidRPr="0054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W) NIM HV Power Supply</w:t>
            </w:r>
          </w:p>
          <w:p w:rsidR="00AB6FD4" w:rsidRPr="00545608" w:rsidRDefault="00AB6FD4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6FD4" w:rsidRPr="00545608" w:rsidTr="001130F1">
        <w:trPr>
          <w:trHeight w:val="32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AB6FD4" w:rsidRPr="00545608" w:rsidTr="001130F1">
        <w:trPr>
          <w:trHeight w:val="4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Package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7A4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NIM module </w:t>
            </w:r>
            <w:bookmarkStart w:id="0" w:name="_GoBack"/>
            <w:bookmarkEnd w:id="0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 metallic housing</w:t>
            </w:r>
          </w:p>
        </w:tc>
      </w:tr>
      <w:tr w:rsidR="00AB6FD4" w:rsidRPr="00545608" w:rsidTr="001130F1">
        <w:trPr>
          <w:trHeight w:val="4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No. of Channels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Polarity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545608" w:rsidP="0054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Positive &amp; Negative switchable</w:t>
            </w:r>
          </w:p>
        </w:tc>
      </w:tr>
      <w:tr w:rsidR="00AB6FD4" w:rsidRPr="00545608" w:rsidTr="001130F1">
        <w:trPr>
          <w:trHeight w:val="4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Output Voltage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545608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 ÷ 6</w:t>
            </w:r>
            <w:r w:rsidR="00AB6FD4"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kV</w:t>
            </w:r>
          </w:p>
        </w:tc>
      </w:tr>
      <w:tr w:rsidR="00AB6FD4" w:rsidRPr="00545608" w:rsidTr="001130F1">
        <w:trPr>
          <w:trHeight w:val="49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Max. Output Current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54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 mA (</w:t>
            </w:r>
            <w:r w:rsidR="00545608"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</w:t>
            </w: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 max)</w:t>
            </w:r>
          </w:p>
        </w:tc>
      </w:tr>
      <w:tr w:rsidR="00AB6FD4" w:rsidRPr="00545608" w:rsidTr="001130F1">
        <w:trPr>
          <w:trHeight w:val="32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Voltage Set/Monitor Resolution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Set: 100 mV</w:t>
            </w:r>
          </w:p>
        </w:tc>
      </w:tr>
      <w:tr w:rsidR="00AB6FD4" w:rsidRPr="00545608" w:rsidTr="001130F1">
        <w:trPr>
          <w:trHeight w:val="32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Monitor: 20 mV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Current Set Resolution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50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Current Monitor Resolution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10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(high range) / 1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(low range)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Current Set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Maximun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Value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3100 µA</w:t>
            </w:r>
          </w:p>
        </w:tc>
      </w:tr>
      <w:tr w:rsidR="00AB6FD4" w:rsidRPr="00545608" w:rsidTr="001130F1">
        <w:trPr>
          <w:trHeight w:val="49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VMAX hardware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545608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 ÷ 6</w:t>
            </w:r>
            <w:r w:rsidR="00AB6FD4"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100 V common to all board channels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VMAX hardware resolution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 V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VMAX hardware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2% of FSR</w:t>
            </w:r>
          </w:p>
        </w:tc>
      </w:tr>
      <w:tr w:rsidR="00AB6FD4" w:rsidRPr="00545608" w:rsidTr="001130F1">
        <w:trPr>
          <w:trHeight w:val="5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Ramp Up/Down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 ÷ 500 Volt/sec, 1 Volt/sec step</w:t>
            </w:r>
          </w:p>
        </w:tc>
      </w:tr>
      <w:tr w:rsidR="00AB6FD4" w:rsidRPr="00545608" w:rsidTr="001130F1">
        <w:trPr>
          <w:trHeight w:val="4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Voltage Ripple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12mVpp Typical </w:t>
            </w:r>
          </w:p>
        </w:tc>
      </w:tr>
      <w:tr w:rsidR="00AB6FD4" w:rsidRPr="00545608" w:rsidTr="001130F1">
        <w:trPr>
          <w:trHeight w:val="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20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mVpp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Maximum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Vmon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vs.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Vout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±0.05% of read ±1 V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Vset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vs.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Vout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±0.05% of read ±1 V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Imon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vs.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Iout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±2% of read ±100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Iset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vs.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Iout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±2% of read ±100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</w:p>
        </w:tc>
      </w:tr>
    </w:tbl>
    <w:p w:rsidR="00D84825" w:rsidRDefault="00D84825" w:rsidP="00D84825"/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FE6" w:rsidRPr="00F31FE6" w:rsidRDefault="00F31FE6" w:rsidP="0033329B">
      <w:pPr>
        <w:rPr>
          <w:rFonts w:ascii="Times New Roman" w:hAnsi="Times New Roman" w:cs="Times New Roman"/>
          <w:sz w:val="24"/>
          <w:szCs w:val="24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D84825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</w:t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  600036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>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53864"/>
    <w:rsid w:val="000A7BBC"/>
    <w:rsid w:val="00270525"/>
    <w:rsid w:val="0033329B"/>
    <w:rsid w:val="00545608"/>
    <w:rsid w:val="007A49A9"/>
    <w:rsid w:val="008E478A"/>
    <w:rsid w:val="00965153"/>
    <w:rsid w:val="009A23FC"/>
    <w:rsid w:val="00AB6FD4"/>
    <w:rsid w:val="00C34441"/>
    <w:rsid w:val="00CD2084"/>
    <w:rsid w:val="00D84825"/>
    <w:rsid w:val="00E409CA"/>
    <w:rsid w:val="00F31FE6"/>
    <w:rsid w:val="00F84030"/>
    <w:rsid w:val="00FA5C03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3</cp:revision>
  <dcterms:created xsi:type="dcterms:W3CDTF">2017-04-13T11:39:00Z</dcterms:created>
  <dcterms:modified xsi:type="dcterms:W3CDTF">2017-04-13T11:40:00Z</dcterms:modified>
</cp:coreProperties>
</file>