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112"/>
        <w:gridCol w:w="7464"/>
      </w:tblGrid>
      <w:tr w:rsidR="00D20D23" w:rsidTr="00D20D23">
        <w:tc>
          <w:tcPr>
            <w:tcW w:w="1908" w:type="dxa"/>
            <w:hideMark/>
          </w:tcPr>
          <w:p w:rsidR="00D20D23" w:rsidRDefault="00D20D23">
            <w:pPr>
              <w:pStyle w:val="NormalWeb"/>
              <w:rPr>
                <w:sz w:val="36"/>
                <w:szCs w:val="36"/>
              </w:rPr>
            </w:pPr>
            <w:r>
              <w:rPr>
                <w:noProof/>
                <w:sz w:val="36"/>
                <w:szCs w:val="36"/>
              </w:rPr>
              <w:drawing>
                <wp:inline distT="0" distB="0" distL="0" distR="0">
                  <wp:extent cx="1203960" cy="1131570"/>
                  <wp:effectExtent l="0" t="0" r="0" b="0"/>
                  <wp:docPr id="1" name="Picture 1" descr="\\Guitar\sridevi\sridevi\ice\invi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tar\sridevi\sridevi\ice\invite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03960" cy="1131570"/>
                          </a:xfrm>
                          <a:prstGeom prst="rect">
                            <a:avLst/>
                          </a:prstGeom>
                          <a:noFill/>
                          <a:ln>
                            <a:noFill/>
                          </a:ln>
                        </pic:spPr>
                      </pic:pic>
                    </a:graphicData>
                  </a:graphic>
                </wp:inline>
              </w:drawing>
            </w:r>
          </w:p>
        </w:tc>
        <w:tc>
          <w:tcPr>
            <w:tcW w:w="8777" w:type="dxa"/>
            <w:hideMark/>
          </w:tcPr>
          <w:p w:rsidR="00D20D23" w:rsidRDefault="00D20D23">
            <w:pPr>
              <w:pStyle w:val="NormalWeb"/>
              <w:jc w:val="center"/>
              <w:rPr>
                <w:rFonts w:ascii="Arial" w:hAnsi="Arial"/>
                <w:b/>
                <w:bCs/>
                <w:szCs w:val="36"/>
              </w:rPr>
            </w:pPr>
            <w:r>
              <w:rPr>
                <w:rFonts w:ascii="Arial Black" w:hAnsi="Arial Black"/>
                <w:b/>
                <w:bCs/>
                <w:sz w:val="28"/>
                <w:szCs w:val="36"/>
              </w:rPr>
              <w:t xml:space="preserve">Indian Institute of Technology </w:t>
            </w:r>
            <w:smartTag w:uri="urn:schemas-microsoft-com:office:smarttags" w:element="City">
              <w:smartTag w:uri="urn:schemas-microsoft-com:office:smarttags" w:element="place">
                <w:r>
                  <w:rPr>
                    <w:rFonts w:ascii="Arial Black" w:hAnsi="Arial Black"/>
                    <w:b/>
                    <w:bCs/>
                    <w:sz w:val="28"/>
                    <w:szCs w:val="36"/>
                  </w:rPr>
                  <w:t>Madras</w:t>
                </w:r>
              </w:smartTag>
            </w:smartTag>
          </w:p>
          <w:p w:rsidR="00D20D23" w:rsidRDefault="00D20D23">
            <w:pPr>
              <w:pStyle w:val="NormalWeb"/>
              <w:rPr>
                <w:rFonts w:ascii="Arial" w:hAnsi="Arial"/>
                <w:b/>
                <w:bCs/>
                <w:szCs w:val="36"/>
              </w:rPr>
            </w:pPr>
            <w:r>
              <w:rPr>
                <w:rFonts w:ascii="Arial" w:hAnsi="Arial"/>
                <w:b/>
                <w:bCs/>
                <w:szCs w:val="36"/>
              </w:rPr>
              <w:t xml:space="preserve">                                 I.I.T.P.O., MADRAS-600 036</w:t>
            </w:r>
          </w:p>
          <w:p w:rsidR="00D20D23" w:rsidRDefault="00D20D23">
            <w:pPr>
              <w:pStyle w:val="NormalWeb"/>
              <w:rPr>
                <w:sz w:val="36"/>
                <w:szCs w:val="36"/>
              </w:rPr>
            </w:pPr>
            <w:r>
              <w:rPr>
                <w:rFonts w:ascii="Arial" w:hAnsi="Arial"/>
                <w:b/>
                <w:bCs/>
                <w:szCs w:val="36"/>
              </w:rPr>
              <w:t xml:space="preserve">                                         ACADEMIC SECTION </w:t>
            </w:r>
          </w:p>
        </w:tc>
      </w:tr>
    </w:tbl>
    <w:p w:rsidR="00D20D23" w:rsidRDefault="00D20D23" w:rsidP="00D20D23">
      <w:pPr>
        <w:pStyle w:val="NormalWeb"/>
        <w:ind w:left="720"/>
        <w:jc w:val="center"/>
        <w:rPr>
          <w:b/>
          <w:bCs/>
          <w:sz w:val="28"/>
          <w:u w:val="single"/>
        </w:rPr>
      </w:pPr>
      <w:r>
        <w:rPr>
          <w:b/>
          <w:bCs/>
          <w:sz w:val="28"/>
          <w:u w:val="single"/>
        </w:rPr>
        <w:t>Form for Inviting  Quotations</w:t>
      </w:r>
    </w:p>
    <w:p w:rsidR="00D20D23" w:rsidRDefault="00D20D23" w:rsidP="00D20D23">
      <w:pPr>
        <w:pStyle w:val="NormalWeb"/>
      </w:pPr>
      <w:r>
        <w:rPr>
          <w:b/>
          <w:bCs/>
        </w:rPr>
        <w:t>Ref.No.</w:t>
      </w:r>
      <w:r>
        <w:tab/>
      </w:r>
      <w:r>
        <w:tab/>
      </w:r>
      <w:r>
        <w:tab/>
      </w:r>
      <w:r>
        <w:tab/>
      </w:r>
      <w:r>
        <w:tab/>
      </w:r>
      <w:r>
        <w:tab/>
      </w:r>
      <w:r>
        <w:tab/>
      </w:r>
      <w:r>
        <w:tab/>
      </w:r>
      <w:r>
        <w:tab/>
      </w:r>
      <w:r>
        <w:rPr>
          <w:b/>
          <w:bCs/>
        </w:rPr>
        <w:t>Date:</w:t>
      </w:r>
      <w:r>
        <w:t xml:space="preserve"> </w:t>
      </w:r>
      <w:r w:rsidR="00864ABD">
        <w:t>02.01.2017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12"/>
        <w:gridCol w:w="720"/>
        <w:gridCol w:w="720"/>
      </w:tblGrid>
      <w:tr w:rsidR="00D20D23" w:rsidTr="00D20D23">
        <w:tc>
          <w:tcPr>
            <w:tcW w:w="828" w:type="dxa"/>
            <w:tcBorders>
              <w:top w:val="single" w:sz="4" w:space="0" w:color="auto"/>
              <w:left w:val="single" w:sz="4" w:space="0" w:color="auto"/>
              <w:bottom w:val="single" w:sz="4" w:space="0" w:color="auto"/>
              <w:right w:val="single" w:sz="4" w:space="0" w:color="auto"/>
            </w:tcBorders>
            <w:hideMark/>
          </w:tcPr>
          <w:p w:rsidR="00D20D23" w:rsidRDefault="00D20D23">
            <w:pPr>
              <w:pStyle w:val="NormalWeb"/>
            </w:pPr>
            <w:r>
              <w:t>DAC</w:t>
            </w:r>
          </w:p>
        </w:tc>
        <w:tc>
          <w:tcPr>
            <w:tcW w:w="612" w:type="dxa"/>
            <w:tcBorders>
              <w:top w:val="single" w:sz="4" w:space="0" w:color="auto"/>
              <w:left w:val="single" w:sz="4" w:space="0" w:color="auto"/>
              <w:bottom w:val="single" w:sz="4" w:space="0" w:color="auto"/>
              <w:right w:val="single" w:sz="4" w:space="0" w:color="auto"/>
            </w:tcBorders>
            <w:hideMark/>
          </w:tcPr>
          <w:p w:rsidR="00D20D23" w:rsidRDefault="00D20D23">
            <w:pPr>
              <w:pStyle w:val="NormalWeb"/>
            </w:pPr>
            <w:r>
              <w:t>01</w:t>
            </w:r>
          </w:p>
        </w:tc>
        <w:tc>
          <w:tcPr>
            <w:tcW w:w="720" w:type="dxa"/>
            <w:tcBorders>
              <w:top w:val="single" w:sz="4" w:space="0" w:color="auto"/>
              <w:left w:val="single" w:sz="4" w:space="0" w:color="auto"/>
              <w:bottom w:val="single" w:sz="4" w:space="0" w:color="auto"/>
              <w:right w:val="single" w:sz="4" w:space="0" w:color="auto"/>
            </w:tcBorders>
            <w:hideMark/>
          </w:tcPr>
          <w:p w:rsidR="00D20D23" w:rsidRDefault="00D20D23">
            <w:pPr>
              <w:pStyle w:val="NormalWeb"/>
            </w:pPr>
            <w:r>
              <w:t>2016-17</w:t>
            </w:r>
          </w:p>
        </w:tc>
        <w:tc>
          <w:tcPr>
            <w:tcW w:w="720" w:type="dxa"/>
            <w:tcBorders>
              <w:top w:val="single" w:sz="4" w:space="0" w:color="auto"/>
              <w:left w:val="single" w:sz="4" w:space="0" w:color="auto"/>
              <w:bottom w:val="single" w:sz="4" w:space="0" w:color="auto"/>
              <w:right w:val="single" w:sz="4" w:space="0" w:color="auto"/>
            </w:tcBorders>
            <w:hideMark/>
          </w:tcPr>
          <w:p w:rsidR="00D20D23" w:rsidRDefault="00D20D23">
            <w:pPr>
              <w:pStyle w:val="NormalWeb"/>
            </w:pPr>
            <w:r>
              <w:t>SPL</w:t>
            </w:r>
          </w:p>
        </w:tc>
      </w:tr>
    </w:tbl>
    <w:p w:rsidR="00D20D23" w:rsidRDefault="00D20D23" w:rsidP="00D20D23">
      <w:pPr>
        <w:pStyle w:val="NormalWeb"/>
        <w:rPr>
          <w:b/>
          <w:bCs/>
          <w:u w:val="single"/>
        </w:rPr>
      </w:pPr>
      <w:r>
        <w:t xml:space="preserve"> </w:t>
      </w:r>
      <w:r>
        <w:tab/>
      </w:r>
      <w:r>
        <w:tab/>
      </w:r>
      <w:r>
        <w:tab/>
      </w:r>
      <w:r>
        <w:tab/>
      </w:r>
      <w:r>
        <w:tab/>
      </w:r>
      <w:r>
        <w:tab/>
      </w:r>
      <w:r>
        <w:tab/>
      </w:r>
      <w:r>
        <w:tab/>
      </w:r>
      <w:r>
        <w:tab/>
      </w:r>
      <w:r>
        <w:rPr>
          <w:b/>
          <w:bCs/>
          <w:u w:val="single"/>
        </w:rPr>
        <w:t>BY REGD.POST</w:t>
      </w:r>
    </w:p>
    <w:p w:rsidR="00D20D23" w:rsidRDefault="00D20D23" w:rsidP="00D20D23">
      <w:pPr>
        <w:pStyle w:val="NormalWeb"/>
        <w:rPr>
          <w:b/>
          <w:bCs/>
        </w:rPr>
      </w:pPr>
      <w:r>
        <w:rPr>
          <w:b/>
          <w:bCs/>
        </w:rPr>
        <w:t>Dear Sirs,</w:t>
      </w:r>
      <w:r>
        <w:tab/>
      </w:r>
      <w:r>
        <w:tab/>
      </w:r>
      <w:r>
        <w:tab/>
      </w:r>
      <w:r>
        <w:tab/>
      </w:r>
      <w:r>
        <w:tab/>
      </w:r>
      <w:r>
        <w:tab/>
      </w:r>
      <w:r>
        <w:tab/>
      </w:r>
      <w:r>
        <w:tab/>
      </w:r>
      <w:r>
        <w:rPr>
          <w:b/>
          <w:bCs/>
        </w:rPr>
        <w:t xml:space="preserve">DUE DATE: </w:t>
      </w:r>
      <w:r w:rsidR="00864ABD">
        <w:rPr>
          <w:b/>
          <w:bCs/>
        </w:rPr>
        <w:t>17</w:t>
      </w:r>
      <w:r>
        <w:rPr>
          <w:b/>
          <w:bCs/>
        </w:rPr>
        <w:t>.01.2017</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Quotations are invited in duplicate for the  items (list enclosed) from original equipment manufacturers or their authorized dealers with service support for Chennai region.   Dealers should attach authorized dealership certificate from the original equipment manufacturers .</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Vendor should have previous experience of having sold and installed atleast 2 nos. of identical or higher version system to premier educational Institutions / well know</w:t>
      </w:r>
      <w:r w:rsidR="00864ABD">
        <w:rPr>
          <w:rFonts w:ascii="Arial" w:hAnsi="Arial" w:cs="Arial"/>
        </w:rPr>
        <w:t>n</w:t>
      </w:r>
      <w:r>
        <w:rPr>
          <w:rFonts w:ascii="Arial" w:hAnsi="Arial" w:cs="Arial"/>
        </w:rPr>
        <w:t xml:space="preserve"> IT companies/MNC etc. In the past one year with evidence to be attached.</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The Quotations duly sealed and superscribed on the envelope with the reference No. and due date, should be addressed to the undersigned so as to reach him on or before the due date stipulated above.</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The Quotations should be valid for sixty days from the due date and the period of delivery required should also be clearly indicated.</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 xml:space="preserve">Relevant literature pertaining to the items quoted with full specifications(and drawing, if any) should be sent along with the Quotations, wherever </w:t>
      </w:r>
      <w:r>
        <w:rPr>
          <w:rFonts w:ascii="Arial" w:hAnsi="Arial" w:cs="Arial"/>
        </w:rPr>
        <w:lastRenderedPageBreak/>
        <w:t>applicable. Samples if called for, should be submitted free of charges, and collected back at the supplier’s expenses.</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Local Firms : Quotations should be for free delivery to this Institute.  If Quotations for Ex-Godown delivery charges should be indicated separately.</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Firms Outside Madras : Quotations should be for F.O.R. Madras.  If F.O.R. consignor station, freight charges by passenger train / lorry transport must be indicated.  If Ex-Godown, packing, farwarding and freight charges must be indicated.</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 The taxes levied  should take into consideration that we are entitled to have concessio</w:t>
      </w:r>
      <w:r w:rsidR="00864ABD">
        <w:rPr>
          <w:rFonts w:ascii="Arial" w:hAnsi="Arial" w:cs="Arial"/>
        </w:rPr>
        <w:t xml:space="preserve">nal Sales Tax applicable to non </w:t>
      </w:r>
      <w:r>
        <w:rPr>
          <w:rFonts w:ascii="Arial" w:hAnsi="Arial" w:cs="Arial"/>
        </w:rPr>
        <w:t>Government Educational Institutions run with no profit motive for which a concession.  Sales Tax Certificate will be issued at the time of final settlement of the bill.</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Goods should be supplied carriage paid and insured.</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Goods shall not be supplied without an official supply order.</w:t>
      </w:r>
    </w:p>
    <w:p w:rsidR="00D20D23" w:rsidRDefault="00D20D23" w:rsidP="00D20D23">
      <w:pPr>
        <w:pStyle w:val="NormalWeb"/>
        <w:numPr>
          <w:ilvl w:val="0"/>
          <w:numId w:val="1"/>
        </w:numPr>
        <w:spacing w:line="360" w:lineRule="auto"/>
        <w:jc w:val="both"/>
        <w:rPr>
          <w:rFonts w:ascii="Arial" w:hAnsi="Arial" w:cs="Arial"/>
        </w:rPr>
      </w:pPr>
      <w:r>
        <w:rPr>
          <w:rFonts w:ascii="Arial" w:hAnsi="Arial" w:cs="Arial"/>
        </w:rPr>
        <w:t>Payment : Every attempt will be made to make payment within 30 days from the date of receipt of bill / acceptance of goods, whichever is later</w:t>
      </w:r>
    </w:p>
    <w:p w:rsidR="00D20D23" w:rsidRDefault="00D20D23" w:rsidP="00D20D23">
      <w:pPr>
        <w:pStyle w:val="NormalWeb"/>
        <w:ind w:left="720"/>
        <w:jc w:val="both"/>
        <w:rPr>
          <w:rFonts w:ascii="Arial" w:hAnsi="Arial" w:cs="Arial"/>
        </w:rPr>
      </w:pPr>
    </w:p>
    <w:p w:rsidR="00D20D23" w:rsidRDefault="00D20D23" w:rsidP="00D20D23">
      <w:pPr>
        <w:pStyle w:val="NormalWeb"/>
        <w:ind w:left="5760" w:firstLine="720"/>
        <w:jc w:val="right"/>
        <w:rPr>
          <w:rFonts w:ascii="Arial" w:hAnsi="Arial" w:cs="Arial"/>
        </w:rPr>
      </w:pPr>
      <w:r>
        <w:rPr>
          <w:rFonts w:ascii="Arial" w:hAnsi="Arial" w:cs="Arial"/>
        </w:rPr>
        <w:t xml:space="preserve"> Yours faithfully,</w:t>
      </w:r>
    </w:p>
    <w:p w:rsidR="00D20D23" w:rsidRDefault="00D20D23" w:rsidP="00D20D23">
      <w:pPr>
        <w:pStyle w:val="NormalWeb"/>
        <w:ind w:left="5760" w:firstLine="720"/>
        <w:rPr>
          <w:rFonts w:ascii="Arial" w:hAnsi="Arial" w:cs="Arial"/>
        </w:rPr>
      </w:pPr>
      <w:r>
        <w:rPr>
          <w:rFonts w:ascii="Arial" w:hAnsi="Arial" w:cs="Arial"/>
        </w:rPr>
        <w:t xml:space="preserve">    </w:t>
      </w:r>
      <w:r>
        <w:rPr>
          <w:rFonts w:ascii="Arial" w:hAnsi="Arial" w:cs="Arial"/>
        </w:rPr>
        <w:tab/>
      </w:r>
      <w:r w:rsidR="00864ABD">
        <w:rPr>
          <w:rFonts w:ascii="Arial" w:hAnsi="Arial" w:cs="Arial"/>
        </w:rPr>
        <w:t xml:space="preserve">            </w:t>
      </w:r>
      <w:bookmarkStart w:id="0" w:name="_GoBack"/>
      <w:bookmarkEnd w:id="0"/>
      <w:r>
        <w:rPr>
          <w:rFonts w:ascii="Arial" w:hAnsi="Arial" w:cs="Arial"/>
        </w:rPr>
        <w:t>Sd/=</w:t>
      </w:r>
    </w:p>
    <w:p w:rsidR="00D20D23" w:rsidRDefault="00D20D23" w:rsidP="00D20D23">
      <w:pPr>
        <w:pStyle w:val="NormalWeb"/>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Jt.Registrar(Res.Unit)</w:t>
      </w:r>
    </w:p>
    <w:p w:rsidR="00D20D23" w:rsidRDefault="00D20D23" w:rsidP="00D20D23">
      <w:pPr>
        <w:pStyle w:val="NormalWeb"/>
      </w:pPr>
      <w:r>
        <w:t xml:space="preserve">Encl: Specification </w:t>
      </w:r>
    </w:p>
    <w:p w:rsidR="00D20D23" w:rsidRPr="00421F2A" w:rsidRDefault="00D20D23" w:rsidP="00421F2A">
      <w:pPr>
        <w:pStyle w:val="NormalWeb"/>
      </w:pPr>
    </w:p>
    <w:sectPr w:rsidR="00D20D23" w:rsidRPr="00421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57066"/>
    <w:multiLevelType w:val="hybridMultilevel"/>
    <w:tmpl w:val="C3BECFE8"/>
    <w:lvl w:ilvl="0" w:tplc="0130ED4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23"/>
    <w:rsid w:val="00372D93"/>
    <w:rsid w:val="00421F2A"/>
    <w:rsid w:val="0085062D"/>
    <w:rsid w:val="00864ABD"/>
    <w:rsid w:val="00D20D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2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20D23"/>
    <w:pPr>
      <w:spacing w:before="100" w:beforeAutospacing="1" w:after="100" w:afterAutospacing="1"/>
    </w:pPr>
  </w:style>
  <w:style w:type="paragraph" w:styleId="BalloonText">
    <w:name w:val="Balloon Text"/>
    <w:basedOn w:val="Normal"/>
    <w:link w:val="BalloonTextChar"/>
    <w:uiPriority w:val="99"/>
    <w:semiHidden/>
    <w:unhideWhenUsed/>
    <w:rsid w:val="00D20D23"/>
    <w:rPr>
      <w:rFonts w:ascii="Tahoma" w:hAnsi="Tahoma" w:cs="Tahoma"/>
      <w:sz w:val="16"/>
      <w:szCs w:val="16"/>
    </w:rPr>
  </w:style>
  <w:style w:type="character" w:customStyle="1" w:styleId="BalloonTextChar">
    <w:name w:val="Balloon Text Char"/>
    <w:basedOn w:val="DefaultParagraphFont"/>
    <w:link w:val="BalloonText"/>
    <w:uiPriority w:val="99"/>
    <w:semiHidden/>
    <w:rsid w:val="00D20D23"/>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2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20D23"/>
    <w:pPr>
      <w:spacing w:before="100" w:beforeAutospacing="1" w:after="100" w:afterAutospacing="1"/>
    </w:pPr>
  </w:style>
  <w:style w:type="paragraph" w:styleId="BalloonText">
    <w:name w:val="Balloon Text"/>
    <w:basedOn w:val="Normal"/>
    <w:link w:val="BalloonTextChar"/>
    <w:uiPriority w:val="99"/>
    <w:semiHidden/>
    <w:unhideWhenUsed/>
    <w:rsid w:val="00D20D23"/>
    <w:rPr>
      <w:rFonts w:ascii="Tahoma" w:hAnsi="Tahoma" w:cs="Tahoma"/>
      <w:sz w:val="16"/>
      <w:szCs w:val="16"/>
    </w:rPr>
  </w:style>
  <w:style w:type="character" w:customStyle="1" w:styleId="BalloonTextChar">
    <w:name w:val="Balloon Text Char"/>
    <w:basedOn w:val="DefaultParagraphFont"/>
    <w:link w:val="BalloonText"/>
    <w:uiPriority w:val="99"/>
    <w:semiHidden/>
    <w:rsid w:val="00D20D23"/>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Guitar\sridevi\sridevi\ice\invite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dc:creator>
  <cp:lastModifiedBy>Acad1</cp:lastModifiedBy>
  <cp:revision>4</cp:revision>
  <dcterms:created xsi:type="dcterms:W3CDTF">2017-01-06T06:37:00Z</dcterms:created>
  <dcterms:modified xsi:type="dcterms:W3CDTF">2017-01-06T07:06:00Z</dcterms:modified>
</cp:coreProperties>
</file>