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68F" w:rsidRDefault="00D6268F" w:rsidP="00B91330">
      <w:pPr>
        <w:pStyle w:val="Default"/>
        <w:rPr>
          <w:sz w:val="22"/>
          <w:szCs w:val="22"/>
        </w:rPr>
      </w:pPr>
      <w:r>
        <w:rPr>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648335" cy="64897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8335" cy="648970"/>
                    </a:xfrm>
                    <a:prstGeom prst="rect">
                      <a:avLst/>
                    </a:prstGeom>
                    <a:noFill/>
                    <a:ln w="9525">
                      <a:noFill/>
                      <a:miter lim="800000"/>
                      <a:headEnd/>
                      <a:tailEnd/>
                    </a:ln>
                  </pic:spPr>
                </pic:pic>
              </a:graphicData>
            </a:graphic>
          </wp:anchor>
        </w:drawing>
      </w:r>
      <w:r w:rsidR="00B91330">
        <w:t xml:space="preserve">                                                         </w:t>
      </w:r>
      <w:r>
        <w:t xml:space="preserve"> </w:t>
      </w:r>
      <w:r>
        <w:rPr>
          <w:sz w:val="22"/>
          <w:szCs w:val="22"/>
        </w:rPr>
        <w:t xml:space="preserve">Indian Institute of Technology Madras </w:t>
      </w:r>
    </w:p>
    <w:p w:rsidR="00D6268F" w:rsidRDefault="00D6268F" w:rsidP="00D6268F">
      <w:pPr>
        <w:pStyle w:val="Default"/>
        <w:jc w:val="right"/>
        <w:rPr>
          <w:sz w:val="22"/>
          <w:szCs w:val="22"/>
        </w:rPr>
      </w:pPr>
      <w:r>
        <w:rPr>
          <w:sz w:val="22"/>
          <w:szCs w:val="22"/>
        </w:rPr>
        <w:t xml:space="preserve">Chennai-600 036 </w:t>
      </w:r>
    </w:p>
    <w:p w:rsidR="00183401" w:rsidRDefault="00183401" w:rsidP="00183401">
      <w:pPr>
        <w:pStyle w:val="Default"/>
        <w:jc w:val="right"/>
        <w:rPr>
          <w:sz w:val="22"/>
          <w:szCs w:val="22"/>
        </w:rPr>
      </w:pPr>
      <w:r>
        <w:rPr>
          <w:sz w:val="22"/>
          <w:szCs w:val="22"/>
        </w:rPr>
        <w:t xml:space="preserve">Department of Civil </w:t>
      </w:r>
      <w:proofErr w:type="spellStart"/>
      <w:r>
        <w:rPr>
          <w:sz w:val="22"/>
          <w:szCs w:val="22"/>
        </w:rPr>
        <w:t>Engineerin</w:t>
      </w:r>
      <w:proofErr w:type="spellEnd"/>
    </w:p>
    <w:p w:rsidR="00183401" w:rsidRDefault="00183401" w:rsidP="00183401">
      <w:pPr>
        <w:pStyle w:val="Default"/>
        <w:rPr>
          <w:sz w:val="22"/>
          <w:szCs w:val="22"/>
        </w:rPr>
      </w:pPr>
    </w:p>
    <w:p w:rsidR="00183401" w:rsidRDefault="00183401" w:rsidP="00183401">
      <w:pPr>
        <w:pStyle w:val="Default"/>
        <w:rPr>
          <w:sz w:val="22"/>
          <w:szCs w:val="22"/>
        </w:rPr>
      </w:pPr>
    </w:p>
    <w:p w:rsidR="00D6268F" w:rsidRDefault="008C05EC" w:rsidP="00183401">
      <w:pPr>
        <w:pStyle w:val="Default"/>
        <w:rPr>
          <w:sz w:val="22"/>
          <w:szCs w:val="22"/>
        </w:rPr>
      </w:pPr>
      <w:r>
        <w:rPr>
          <w:sz w:val="22"/>
          <w:szCs w:val="22"/>
        </w:rPr>
        <w:t>Ref No: CIE/2015</w:t>
      </w:r>
      <w:r w:rsidR="00CB4C64">
        <w:rPr>
          <w:sz w:val="22"/>
          <w:szCs w:val="22"/>
        </w:rPr>
        <w:t>/ Spectrometer</w:t>
      </w:r>
      <w:r w:rsidR="00622EA6">
        <w:rPr>
          <w:sz w:val="22"/>
          <w:szCs w:val="22"/>
        </w:rPr>
        <w:t>/SPLX</w:t>
      </w:r>
      <w:r w:rsidR="00183401">
        <w:rPr>
          <w:sz w:val="22"/>
          <w:szCs w:val="22"/>
        </w:rPr>
        <w:t xml:space="preserve">                                   </w:t>
      </w:r>
      <w:r w:rsidR="00CB4C64">
        <w:rPr>
          <w:sz w:val="22"/>
          <w:szCs w:val="22"/>
        </w:rPr>
        <w:t xml:space="preserve">              dated 10.08</w:t>
      </w:r>
      <w:r w:rsidR="00183401">
        <w:rPr>
          <w:sz w:val="22"/>
          <w:szCs w:val="22"/>
        </w:rPr>
        <w:t>.2015</w:t>
      </w:r>
      <w:r w:rsidR="00D6268F">
        <w:rPr>
          <w:sz w:val="22"/>
          <w:szCs w:val="22"/>
        </w:rPr>
        <w:t xml:space="preserve"> </w:t>
      </w:r>
    </w:p>
    <w:p w:rsidR="00183401" w:rsidRDefault="00D6268F" w:rsidP="00D6268F">
      <w:pPr>
        <w:pStyle w:val="Default"/>
        <w:rPr>
          <w:sz w:val="22"/>
          <w:szCs w:val="22"/>
        </w:rPr>
      </w:pPr>
      <w:r>
        <w:rPr>
          <w:sz w:val="22"/>
          <w:szCs w:val="22"/>
        </w:rPr>
        <w:t xml:space="preserve">To                                                                                </w:t>
      </w:r>
    </w:p>
    <w:p w:rsidR="00D6268F" w:rsidRDefault="00183401" w:rsidP="00D6268F">
      <w:pPr>
        <w:pStyle w:val="Default"/>
        <w:rPr>
          <w:sz w:val="22"/>
          <w:szCs w:val="22"/>
        </w:rPr>
      </w:pPr>
      <w:r>
        <w:rPr>
          <w:sz w:val="22"/>
          <w:szCs w:val="22"/>
        </w:rPr>
        <w:t xml:space="preserve">                                                                                                </w:t>
      </w:r>
      <w:r w:rsidR="008F0A9C">
        <w:rPr>
          <w:sz w:val="22"/>
          <w:szCs w:val="22"/>
        </w:rPr>
        <w:t xml:space="preserve"> DUE </w:t>
      </w:r>
      <w:proofErr w:type="gramStart"/>
      <w:r w:rsidR="008F0A9C">
        <w:rPr>
          <w:sz w:val="22"/>
          <w:szCs w:val="22"/>
        </w:rPr>
        <w:t>DATE :</w:t>
      </w:r>
      <w:proofErr w:type="gramEnd"/>
      <w:r w:rsidR="008F0A9C">
        <w:rPr>
          <w:sz w:val="22"/>
          <w:szCs w:val="22"/>
        </w:rPr>
        <w:t xml:space="preserve">  02</w:t>
      </w:r>
      <w:r w:rsidR="00622EA6">
        <w:rPr>
          <w:sz w:val="22"/>
          <w:szCs w:val="22"/>
        </w:rPr>
        <w:t>.</w:t>
      </w:r>
      <w:r w:rsidR="008F0A9C">
        <w:rPr>
          <w:sz w:val="22"/>
          <w:szCs w:val="22"/>
        </w:rPr>
        <w:t>09</w:t>
      </w:r>
      <w:r w:rsidR="00622EA6">
        <w:rPr>
          <w:sz w:val="22"/>
          <w:szCs w:val="22"/>
        </w:rPr>
        <w:t>.2015</w:t>
      </w:r>
    </w:p>
    <w:p w:rsidR="00D6268F" w:rsidRDefault="00946C30" w:rsidP="00D6268F">
      <w:pPr>
        <w:pStyle w:val="Default"/>
        <w:rPr>
          <w:sz w:val="22"/>
          <w:szCs w:val="22"/>
        </w:rPr>
      </w:pPr>
      <w:r>
        <w:rPr>
          <w:sz w:val="22"/>
          <w:szCs w:val="22"/>
        </w:rPr>
        <w:t>Sir/Madam</w:t>
      </w:r>
      <w:r w:rsidR="00D6268F">
        <w:rPr>
          <w:sz w:val="22"/>
          <w:szCs w:val="22"/>
        </w:rPr>
        <w:t xml:space="preserve"> </w:t>
      </w:r>
    </w:p>
    <w:p w:rsidR="00D6268F" w:rsidRDefault="00D6268F" w:rsidP="00D6268F">
      <w:pPr>
        <w:pStyle w:val="Default"/>
        <w:spacing w:after="197"/>
        <w:rPr>
          <w:sz w:val="22"/>
          <w:szCs w:val="22"/>
        </w:rPr>
      </w:pPr>
      <w:r>
        <w:rPr>
          <w:sz w:val="22"/>
          <w:szCs w:val="22"/>
        </w:rPr>
        <w:t xml:space="preserve">1. Quotations are invited </w:t>
      </w:r>
      <w:r>
        <w:rPr>
          <w:b/>
          <w:bCs/>
          <w:sz w:val="22"/>
          <w:szCs w:val="22"/>
          <w:u w:val="single"/>
        </w:rPr>
        <w:t>in duplicate (Two bidding covers</w:t>
      </w:r>
      <w:proofErr w:type="gramStart"/>
      <w:r>
        <w:rPr>
          <w:b/>
          <w:bCs/>
          <w:sz w:val="22"/>
          <w:szCs w:val="22"/>
          <w:u w:val="single"/>
        </w:rPr>
        <w:t>)</w:t>
      </w:r>
      <w:r>
        <w:rPr>
          <w:sz w:val="22"/>
          <w:szCs w:val="22"/>
        </w:rPr>
        <w:t>for</w:t>
      </w:r>
      <w:proofErr w:type="gramEnd"/>
      <w:r>
        <w:rPr>
          <w:sz w:val="22"/>
          <w:szCs w:val="22"/>
        </w:rPr>
        <w:t xml:space="preserve"> the </w:t>
      </w:r>
      <w:r>
        <w:rPr>
          <w:b/>
          <w:bCs/>
          <w:sz w:val="22"/>
          <w:szCs w:val="22"/>
        </w:rPr>
        <w:t>item/s shown as per enclosed Specifications</w:t>
      </w:r>
      <w:r>
        <w:rPr>
          <w:sz w:val="22"/>
          <w:szCs w:val="22"/>
        </w:rPr>
        <w:t xml:space="preserve">. </w:t>
      </w:r>
    </w:p>
    <w:p w:rsidR="00D6268F" w:rsidRDefault="00D6268F" w:rsidP="00D6268F">
      <w:pPr>
        <w:pStyle w:val="Default"/>
        <w:spacing w:after="197"/>
        <w:rPr>
          <w:sz w:val="22"/>
          <w:szCs w:val="22"/>
        </w:rPr>
      </w:pPr>
      <w:r>
        <w:rPr>
          <w:sz w:val="22"/>
          <w:szCs w:val="22"/>
        </w:rPr>
        <w:t xml:space="preserve">2. The quotations duly sealed and superscribed on the envelope with the enquiry reference No. &amp; due date should be addressed to the </w:t>
      </w:r>
      <w:r>
        <w:rPr>
          <w:b/>
          <w:bCs/>
          <w:sz w:val="22"/>
          <w:szCs w:val="22"/>
        </w:rPr>
        <w:t xml:space="preserve">Head of the Department, and contain in 2 bid system i.e. Technical bid and Commercial bid in two separate envelopes and these two envelopes should be enclosed in a Single envelope so as to reach on or before the due date. </w:t>
      </w:r>
    </w:p>
    <w:p w:rsidR="00D6268F" w:rsidRDefault="00D6268F" w:rsidP="00D6268F">
      <w:pPr>
        <w:pStyle w:val="Default"/>
        <w:spacing w:after="197"/>
        <w:rPr>
          <w:sz w:val="22"/>
          <w:szCs w:val="22"/>
        </w:rPr>
      </w:pPr>
      <w:r>
        <w:rPr>
          <w:sz w:val="22"/>
          <w:szCs w:val="22"/>
        </w:rPr>
        <w:t xml:space="preserve">3. The quotation should be valid for </w:t>
      </w:r>
      <w:r>
        <w:rPr>
          <w:b/>
          <w:bCs/>
          <w:sz w:val="22"/>
          <w:szCs w:val="22"/>
        </w:rPr>
        <w:t xml:space="preserve">(60) </w:t>
      </w:r>
      <w:r>
        <w:rPr>
          <w:b/>
          <w:bCs/>
          <w:sz w:val="22"/>
          <w:szCs w:val="22"/>
          <w:u w:val="single"/>
        </w:rPr>
        <w:t xml:space="preserve">Sixty days from the due date and period of delivery time </w:t>
      </w:r>
      <w:r>
        <w:rPr>
          <w:sz w:val="22"/>
          <w:szCs w:val="22"/>
        </w:rPr>
        <w:t xml:space="preserve">required. </w:t>
      </w:r>
    </w:p>
    <w:p w:rsidR="00D6268F" w:rsidRDefault="00D6268F" w:rsidP="00D6268F">
      <w:pPr>
        <w:pStyle w:val="Default"/>
        <w:spacing w:after="197"/>
        <w:rPr>
          <w:sz w:val="22"/>
          <w:szCs w:val="22"/>
        </w:rPr>
      </w:pPr>
      <w:r>
        <w:rPr>
          <w:sz w:val="22"/>
          <w:szCs w:val="22"/>
        </w:rPr>
        <w:t xml:space="preserve">4. Relevant literature pertaining to the items quoted with full specifications (and drawing, if any) should be sent along with the quotations, </w:t>
      </w:r>
      <w:r>
        <w:rPr>
          <w:b/>
          <w:bCs/>
          <w:sz w:val="22"/>
          <w:szCs w:val="22"/>
        </w:rPr>
        <w:t>wherever applicable</w:t>
      </w:r>
      <w:r>
        <w:rPr>
          <w:sz w:val="22"/>
          <w:szCs w:val="22"/>
        </w:rPr>
        <w:t xml:space="preserve">. Samples if called for, submitted free of charge and collected back at the suppliers expenses. </w:t>
      </w:r>
    </w:p>
    <w:p w:rsidR="00D6268F" w:rsidRDefault="00D6268F" w:rsidP="00D6268F">
      <w:pPr>
        <w:pStyle w:val="Default"/>
        <w:spacing w:after="197"/>
        <w:rPr>
          <w:sz w:val="22"/>
          <w:szCs w:val="22"/>
        </w:rPr>
      </w:pPr>
      <w:r>
        <w:rPr>
          <w:sz w:val="22"/>
          <w:szCs w:val="22"/>
        </w:rPr>
        <w:t xml:space="preserve">5. Firms outside Chennai: Quotations should be for F.O.R. Chennai. If F.O.R. consignor station, freight charges by passenger train/lorry transport must be indicated. </w:t>
      </w:r>
      <w:proofErr w:type="gramStart"/>
      <w:r>
        <w:rPr>
          <w:sz w:val="22"/>
          <w:szCs w:val="22"/>
        </w:rPr>
        <w:t>If Ex-</w:t>
      </w:r>
      <w:proofErr w:type="spellStart"/>
      <w:r>
        <w:rPr>
          <w:sz w:val="22"/>
          <w:szCs w:val="22"/>
        </w:rPr>
        <w:t>godown</w:t>
      </w:r>
      <w:proofErr w:type="spellEnd"/>
      <w:r>
        <w:rPr>
          <w:sz w:val="22"/>
          <w:szCs w:val="22"/>
        </w:rPr>
        <w:t>, packing Forwarding and Freight charges must be indicated.</w:t>
      </w:r>
      <w:proofErr w:type="gramEnd"/>
      <w:r>
        <w:rPr>
          <w:sz w:val="22"/>
          <w:szCs w:val="22"/>
        </w:rPr>
        <w:t xml:space="preserve"> </w:t>
      </w:r>
    </w:p>
    <w:p w:rsidR="00D6268F" w:rsidRDefault="00D6268F" w:rsidP="00D6268F">
      <w:pPr>
        <w:pStyle w:val="Default"/>
        <w:spacing w:after="197"/>
        <w:rPr>
          <w:sz w:val="22"/>
          <w:szCs w:val="22"/>
        </w:rPr>
      </w:pPr>
      <w:r>
        <w:rPr>
          <w:sz w:val="22"/>
          <w:szCs w:val="22"/>
        </w:rPr>
        <w:t>6. Local Firms: Quotations should be for free delivery to this Institute. If quotations are for Ex-</w:t>
      </w:r>
      <w:proofErr w:type="spellStart"/>
      <w:r>
        <w:rPr>
          <w:sz w:val="22"/>
          <w:szCs w:val="22"/>
        </w:rPr>
        <w:t>godown</w:t>
      </w:r>
      <w:proofErr w:type="spellEnd"/>
      <w:r>
        <w:rPr>
          <w:sz w:val="22"/>
          <w:szCs w:val="22"/>
        </w:rPr>
        <w:t xml:space="preserve">, delivery charges should be indicated separately. </w:t>
      </w:r>
    </w:p>
    <w:p w:rsidR="00D6268F" w:rsidRDefault="00D6268F" w:rsidP="00D6268F">
      <w:pPr>
        <w:pStyle w:val="Default"/>
        <w:spacing w:after="197"/>
        <w:rPr>
          <w:sz w:val="22"/>
          <w:szCs w:val="22"/>
        </w:rPr>
      </w:pPr>
      <w:r>
        <w:rPr>
          <w:sz w:val="22"/>
          <w:szCs w:val="22"/>
        </w:rPr>
        <w:t xml:space="preserve">7. Goods should be </w:t>
      </w:r>
      <w:r>
        <w:rPr>
          <w:b/>
          <w:bCs/>
          <w:sz w:val="22"/>
          <w:szCs w:val="22"/>
        </w:rPr>
        <w:t xml:space="preserve">supplied </w:t>
      </w:r>
      <w:r>
        <w:rPr>
          <w:sz w:val="22"/>
          <w:szCs w:val="22"/>
        </w:rPr>
        <w:t xml:space="preserve">by </w:t>
      </w:r>
      <w:r>
        <w:rPr>
          <w:b/>
          <w:bCs/>
          <w:sz w:val="22"/>
          <w:szCs w:val="22"/>
        </w:rPr>
        <w:t>carriage paid and insured</w:t>
      </w:r>
      <w:r>
        <w:rPr>
          <w:sz w:val="22"/>
          <w:szCs w:val="22"/>
        </w:rPr>
        <w:t xml:space="preserve">. </w:t>
      </w:r>
    </w:p>
    <w:p w:rsidR="00D6268F" w:rsidRDefault="00D6268F" w:rsidP="00D6268F">
      <w:pPr>
        <w:pStyle w:val="Default"/>
        <w:spacing w:after="197"/>
        <w:rPr>
          <w:sz w:val="22"/>
          <w:szCs w:val="22"/>
        </w:rPr>
      </w:pPr>
      <w:r>
        <w:rPr>
          <w:sz w:val="22"/>
          <w:szCs w:val="22"/>
        </w:rPr>
        <w:t xml:space="preserve">8. Goods shall not be supplied </w:t>
      </w:r>
      <w:r>
        <w:rPr>
          <w:b/>
          <w:bCs/>
          <w:sz w:val="22"/>
          <w:szCs w:val="22"/>
        </w:rPr>
        <w:t>without an official supply order</w:t>
      </w:r>
      <w:r>
        <w:rPr>
          <w:sz w:val="22"/>
          <w:szCs w:val="22"/>
        </w:rPr>
        <w:t xml:space="preserve">. </w:t>
      </w:r>
    </w:p>
    <w:p w:rsidR="00D6268F" w:rsidRDefault="00D6268F" w:rsidP="00D6268F">
      <w:pPr>
        <w:pStyle w:val="Default"/>
        <w:spacing w:after="197"/>
        <w:rPr>
          <w:sz w:val="22"/>
          <w:szCs w:val="22"/>
        </w:rPr>
      </w:pPr>
      <w:r>
        <w:rPr>
          <w:sz w:val="22"/>
          <w:szCs w:val="22"/>
        </w:rPr>
        <w:t>9. PAYMENT: The mode of payment should be mentioned</w:t>
      </w:r>
      <w:r>
        <w:rPr>
          <w:b/>
          <w:bCs/>
          <w:sz w:val="22"/>
          <w:szCs w:val="22"/>
        </w:rPr>
        <w:t xml:space="preserve">. </w:t>
      </w:r>
    </w:p>
    <w:p w:rsidR="00D6268F" w:rsidRDefault="00D6268F" w:rsidP="00D6268F">
      <w:pPr>
        <w:pStyle w:val="Default"/>
        <w:spacing w:after="197"/>
        <w:rPr>
          <w:sz w:val="22"/>
          <w:szCs w:val="22"/>
        </w:rPr>
      </w:pPr>
      <w:r>
        <w:rPr>
          <w:sz w:val="22"/>
          <w:szCs w:val="22"/>
        </w:rPr>
        <w:t xml:space="preserve">10. Rate of Sales/General Taxes and percent of such other taxes legally leviable and intended to be claimed should be distinctly shown along with the price quoted. Wherever this is not done, no claim for any taxes will be admitted at any stage and any ground whatsoever. The taxes leviable should take into consideration that we are entitled to have Concessional Sales Tax applicable to Non-Government Educational Institutions run with no profit motive for which a concession. Sales Tax Certificates will be issued at the time of final settlement of the bill. The Price should be quoted without Excise </w:t>
      </w:r>
      <w:proofErr w:type="gramStart"/>
      <w:r>
        <w:rPr>
          <w:sz w:val="22"/>
          <w:szCs w:val="22"/>
        </w:rPr>
        <w:t>Duty,</w:t>
      </w:r>
      <w:proofErr w:type="gramEnd"/>
      <w:r>
        <w:rPr>
          <w:sz w:val="22"/>
          <w:szCs w:val="22"/>
        </w:rPr>
        <w:t xml:space="preserve"> Since IIT Madras is exempt from payment of Excise duty. </w:t>
      </w:r>
    </w:p>
    <w:p w:rsidR="00D6268F" w:rsidRDefault="00D6268F" w:rsidP="00D6268F">
      <w:pPr>
        <w:pStyle w:val="Default"/>
        <w:rPr>
          <w:sz w:val="22"/>
          <w:szCs w:val="22"/>
        </w:rPr>
      </w:pPr>
      <w:r>
        <w:rPr>
          <w:sz w:val="22"/>
          <w:szCs w:val="22"/>
        </w:rPr>
        <w:t xml:space="preserve">11. Warranty period: Explicitly Warranty period is to be given by the firms. </w:t>
      </w:r>
    </w:p>
    <w:p w:rsidR="00B91330" w:rsidRDefault="00B91330" w:rsidP="00D6268F">
      <w:pPr>
        <w:pStyle w:val="Default"/>
        <w:rPr>
          <w:sz w:val="22"/>
          <w:szCs w:val="22"/>
        </w:rPr>
      </w:pPr>
      <w:r>
        <w:rPr>
          <w:sz w:val="22"/>
          <w:szCs w:val="22"/>
        </w:rPr>
        <w:t xml:space="preserve">                                                                                                                  </w:t>
      </w:r>
      <w:r w:rsidR="00D6268F">
        <w:rPr>
          <w:sz w:val="22"/>
          <w:szCs w:val="22"/>
        </w:rPr>
        <w:t xml:space="preserve">Yours sincerely </w:t>
      </w:r>
    </w:p>
    <w:p w:rsidR="00B91330" w:rsidRDefault="00B91330" w:rsidP="00D6268F">
      <w:pPr>
        <w:pStyle w:val="Default"/>
        <w:rPr>
          <w:sz w:val="22"/>
          <w:szCs w:val="22"/>
        </w:rPr>
      </w:pPr>
      <w:r>
        <w:rPr>
          <w:sz w:val="22"/>
          <w:szCs w:val="22"/>
        </w:rPr>
        <w:t xml:space="preserve">                                                                                                                                                                                                                  </w:t>
      </w:r>
    </w:p>
    <w:p w:rsidR="00B86089" w:rsidRDefault="00B91330" w:rsidP="00B91330">
      <w:pPr>
        <w:pStyle w:val="Default"/>
        <w:rPr>
          <w:szCs w:val="22"/>
        </w:rPr>
      </w:pPr>
      <w:r>
        <w:rPr>
          <w:sz w:val="22"/>
          <w:szCs w:val="22"/>
        </w:rPr>
        <w:t xml:space="preserve">                                                                                               For Head of </w:t>
      </w:r>
      <w:proofErr w:type="gramStart"/>
      <w:r>
        <w:rPr>
          <w:sz w:val="22"/>
          <w:szCs w:val="22"/>
        </w:rPr>
        <w:t>the  Department</w:t>
      </w:r>
      <w:proofErr w:type="gramEnd"/>
      <w:r>
        <w:rPr>
          <w:szCs w:val="22"/>
        </w:rPr>
        <w:t xml:space="preserve">         </w:t>
      </w:r>
    </w:p>
    <w:p w:rsidR="0028775A" w:rsidRPr="00F26AE2" w:rsidRDefault="0028775A" w:rsidP="0028775A">
      <w:pPr>
        <w:spacing w:after="240" w:line="360" w:lineRule="auto"/>
        <w:jc w:val="center"/>
        <w:rPr>
          <w:rFonts w:ascii="Arial" w:hAnsi="Arial" w:cs="Arial"/>
          <w:b/>
          <w:bCs/>
          <w:sz w:val="28"/>
          <w:szCs w:val="28"/>
        </w:rPr>
      </w:pPr>
      <w:r w:rsidRPr="00F26AE2">
        <w:rPr>
          <w:rFonts w:ascii="Arial" w:hAnsi="Arial" w:cs="Arial"/>
          <w:b/>
          <w:sz w:val="28"/>
          <w:szCs w:val="28"/>
        </w:rPr>
        <w:lastRenderedPageBreak/>
        <w:t>Technical Specification for Multi Functional Spectrometer System</w:t>
      </w:r>
    </w:p>
    <w:p w:rsidR="0028775A" w:rsidRPr="00F26AE2" w:rsidRDefault="0028775A" w:rsidP="0028775A">
      <w:pPr>
        <w:jc w:val="both"/>
        <w:rPr>
          <w:rFonts w:ascii="Arial" w:hAnsi="Arial" w:cs="Arial"/>
          <w:sz w:val="22"/>
          <w:szCs w:val="22"/>
        </w:rPr>
      </w:pPr>
      <w:r w:rsidRPr="00F26AE2">
        <w:rPr>
          <w:rFonts w:ascii="Arial" w:hAnsi="Arial" w:cs="Arial"/>
          <w:sz w:val="22"/>
          <w:szCs w:val="22"/>
        </w:rPr>
        <w:t>System should be designed and manufactured under ISO-9001 and should comply with international regulatory, safety and electromagnetic compatibility requirement. The multi functional spectrometer data system should be based on Microsoft Windows operating system for instrument control, data acquisition and data analysis.</w:t>
      </w:r>
    </w:p>
    <w:p w:rsidR="0028775A" w:rsidRPr="00F26AE2" w:rsidRDefault="0028775A" w:rsidP="0028775A">
      <w:pPr>
        <w:spacing w:before="240" w:after="240"/>
        <w:jc w:val="both"/>
        <w:rPr>
          <w:rFonts w:ascii="Arial" w:hAnsi="Arial" w:cs="Arial"/>
          <w:b/>
          <w:bCs/>
        </w:rPr>
      </w:pPr>
      <w:r w:rsidRPr="00F26AE2">
        <w:rPr>
          <w:rFonts w:ascii="Arial" w:hAnsi="Arial" w:cs="Arial"/>
          <w:b/>
          <w:bCs/>
        </w:rPr>
        <w:t>Core Specifications:</w:t>
      </w:r>
    </w:p>
    <w:tbl>
      <w:tblPr>
        <w:tblStyle w:val="TableGrid"/>
        <w:tblW w:w="9090" w:type="dxa"/>
        <w:tblInd w:w="288" w:type="dxa"/>
        <w:tblBorders>
          <w:top w:val="single" w:sz="18" w:space="0" w:color="00B050"/>
          <w:left w:val="none" w:sz="0" w:space="0" w:color="auto"/>
          <w:bottom w:val="single" w:sz="18" w:space="0" w:color="00B050"/>
          <w:right w:val="none" w:sz="0" w:space="0" w:color="auto"/>
          <w:insideH w:val="none" w:sz="0" w:space="0" w:color="auto"/>
          <w:insideV w:val="none" w:sz="0" w:space="0" w:color="auto"/>
        </w:tblBorders>
        <w:tblLook w:val="04A0"/>
      </w:tblPr>
      <w:tblGrid>
        <w:gridCol w:w="810"/>
        <w:gridCol w:w="2070"/>
        <w:gridCol w:w="6210"/>
      </w:tblGrid>
      <w:tr w:rsidR="0028775A" w:rsidRPr="00F26AE2" w:rsidTr="001072FF">
        <w:trPr>
          <w:trHeight w:val="350"/>
        </w:trPr>
        <w:tc>
          <w:tcPr>
            <w:tcW w:w="810" w:type="dxa"/>
            <w:tcBorders>
              <w:top w:val="single" w:sz="18" w:space="0" w:color="00B050"/>
              <w:bottom w:val="single" w:sz="18" w:space="0" w:color="00B050"/>
            </w:tcBorders>
          </w:tcPr>
          <w:p w:rsidR="0028775A" w:rsidRPr="00F26AE2" w:rsidRDefault="0028775A" w:rsidP="001072FF">
            <w:pPr>
              <w:spacing w:after="120"/>
              <w:rPr>
                <w:rFonts w:ascii="Arial" w:hAnsi="Arial" w:cs="Arial"/>
                <w:b/>
              </w:rPr>
            </w:pPr>
            <w:r w:rsidRPr="00F26AE2">
              <w:rPr>
                <w:rFonts w:ascii="Arial" w:hAnsi="Arial" w:cs="Arial"/>
                <w:b/>
              </w:rPr>
              <w:t>S. No</w:t>
            </w:r>
          </w:p>
        </w:tc>
        <w:tc>
          <w:tcPr>
            <w:tcW w:w="2070" w:type="dxa"/>
            <w:tcBorders>
              <w:top w:val="single" w:sz="18" w:space="0" w:color="00B050"/>
              <w:bottom w:val="single" w:sz="18" w:space="0" w:color="00B050"/>
            </w:tcBorders>
          </w:tcPr>
          <w:p w:rsidR="0028775A" w:rsidRPr="00F26AE2" w:rsidRDefault="0028775A" w:rsidP="001072FF">
            <w:pPr>
              <w:spacing w:after="120"/>
              <w:rPr>
                <w:rFonts w:ascii="Arial" w:hAnsi="Arial" w:cs="Arial"/>
                <w:b/>
              </w:rPr>
            </w:pPr>
            <w:r w:rsidRPr="00F26AE2">
              <w:rPr>
                <w:rFonts w:ascii="Arial" w:hAnsi="Arial" w:cs="Arial"/>
                <w:b/>
              </w:rPr>
              <w:t>Specifications</w:t>
            </w:r>
          </w:p>
        </w:tc>
        <w:tc>
          <w:tcPr>
            <w:tcW w:w="6210" w:type="dxa"/>
            <w:tcBorders>
              <w:top w:val="single" w:sz="18" w:space="0" w:color="00B050"/>
              <w:bottom w:val="single" w:sz="18" w:space="0" w:color="00B050"/>
            </w:tcBorders>
          </w:tcPr>
          <w:p w:rsidR="0028775A" w:rsidRPr="00F26AE2" w:rsidRDefault="0028775A" w:rsidP="001072FF">
            <w:pPr>
              <w:spacing w:after="120"/>
              <w:rPr>
                <w:rFonts w:ascii="Arial" w:hAnsi="Arial" w:cs="Arial"/>
                <w:b/>
              </w:rPr>
            </w:pPr>
            <w:r w:rsidRPr="00F26AE2">
              <w:rPr>
                <w:rFonts w:ascii="Arial" w:hAnsi="Arial" w:cs="Arial"/>
                <w:b/>
              </w:rPr>
              <w:t>Descriptions</w:t>
            </w:r>
          </w:p>
        </w:tc>
      </w:tr>
      <w:tr w:rsidR="0028775A" w:rsidRPr="00F26AE2" w:rsidTr="001072FF">
        <w:trPr>
          <w:trHeight w:val="833"/>
        </w:trPr>
        <w:tc>
          <w:tcPr>
            <w:tcW w:w="810" w:type="dxa"/>
            <w:tcBorders>
              <w:top w:val="single" w:sz="18" w:space="0" w:color="00B050"/>
            </w:tcBorders>
          </w:tcPr>
          <w:p w:rsidR="0028775A" w:rsidRPr="00F26AE2" w:rsidRDefault="0028775A" w:rsidP="001072FF">
            <w:pPr>
              <w:spacing w:after="120"/>
              <w:rPr>
                <w:rFonts w:ascii="Arial" w:hAnsi="Arial" w:cs="Arial"/>
              </w:rPr>
            </w:pPr>
            <w:r w:rsidRPr="00F26AE2">
              <w:rPr>
                <w:rFonts w:ascii="Arial" w:hAnsi="Arial" w:cs="Arial"/>
              </w:rPr>
              <w:t>1</w:t>
            </w:r>
          </w:p>
        </w:tc>
        <w:tc>
          <w:tcPr>
            <w:tcW w:w="2070" w:type="dxa"/>
            <w:vMerge w:val="restart"/>
            <w:tcBorders>
              <w:top w:val="single" w:sz="18" w:space="0" w:color="00B050"/>
            </w:tcBorders>
          </w:tcPr>
          <w:p w:rsidR="0028775A" w:rsidRPr="00F26AE2" w:rsidRDefault="0028775A" w:rsidP="001072FF">
            <w:pPr>
              <w:spacing w:after="120"/>
              <w:rPr>
                <w:rFonts w:ascii="Arial" w:hAnsi="Arial" w:cs="Arial"/>
              </w:rPr>
            </w:pPr>
            <w:r w:rsidRPr="00F26AE2">
              <w:rPr>
                <w:rFonts w:ascii="Arial" w:hAnsi="Arial" w:cs="Arial"/>
              </w:rPr>
              <w:t xml:space="preserve">One vendor solution and </w:t>
            </w:r>
            <w:r>
              <w:rPr>
                <w:rFonts w:ascii="Arial" w:hAnsi="Arial" w:cs="Arial"/>
              </w:rPr>
              <w:t>Detection mode</w:t>
            </w:r>
          </w:p>
        </w:tc>
        <w:tc>
          <w:tcPr>
            <w:tcW w:w="6210" w:type="dxa"/>
            <w:vMerge w:val="restart"/>
            <w:tcBorders>
              <w:top w:val="single" w:sz="18" w:space="0" w:color="00B050"/>
            </w:tcBorders>
          </w:tcPr>
          <w:p w:rsidR="0028775A" w:rsidRPr="00F26AE2" w:rsidRDefault="0028775A" w:rsidP="001072FF">
            <w:pPr>
              <w:spacing w:after="120"/>
              <w:jc w:val="both"/>
              <w:rPr>
                <w:rFonts w:ascii="Arial" w:hAnsi="Arial" w:cs="Arial"/>
              </w:rPr>
            </w:pPr>
            <w:r w:rsidRPr="00F26AE2">
              <w:rPr>
                <w:rFonts w:ascii="Arial" w:hAnsi="Arial" w:cs="Arial"/>
              </w:rPr>
              <w:t xml:space="preserve">The multi functional spectrometer </w:t>
            </w:r>
            <w:r w:rsidRPr="00F26AE2">
              <w:rPr>
                <w:rFonts w:ascii="Arial" w:hAnsi="Arial" w:cs="Arial"/>
                <w:color w:val="000000" w:themeColor="text1"/>
              </w:rPr>
              <w:t>must be manufactured,</w:t>
            </w:r>
            <w:r w:rsidRPr="00F26AE2">
              <w:rPr>
                <w:rFonts w:ascii="Arial" w:hAnsi="Arial" w:cs="Arial"/>
              </w:rPr>
              <w:t xml:space="preserve"> supplied and installed by a single vendor</w:t>
            </w:r>
          </w:p>
          <w:p w:rsidR="0028775A" w:rsidRPr="001714C1" w:rsidRDefault="0028775A" w:rsidP="001072FF">
            <w:pPr>
              <w:spacing w:after="120"/>
              <w:jc w:val="both"/>
              <w:rPr>
                <w:rFonts w:ascii="Arial" w:hAnsi="Arial" w:cs="Arial"/>
                <w:color w:val="FF0000"/>
              </w:rPr>
            </w:pPr>
            <w:r w:rsidRPr="001714C1">
              <w:rPr>
                <w:rFonts w:ascii="Arial" w:hAnsi="Arial" w:cs="Arial"/>
                <w:color w:val="000000" w:themeColor="text1"/>
              </w:rPr>
              <w:t xml:space="preserve">A </w:t>
            </w:r>
            <w:proofErr w:type="spellStart"/>
            <w:r w:rsidRPr="001714C1">
              <w:rPr>
                <w:rFonts w:ascii="Arial" w:hAnsi="Arial" w:cs="Arial"/>
                <w:color w:val="000000" w:themeColor="text1"/>
              </w:rPr>
              <w:t>Monochromator</w:t>
            </w:r>
            <w:proofErr w:type="spellEnd"/>
            <w:r w:rsidRPr="001714C1">
              <w:rPr>
                <w:rFonts w:ascii="Arial" w:hAnsi="Arial" w:cs="Arial"/>
                <w:color w:val="000000" w:themeColor="text1"/>
              </w:rPr>
              <w:t xml:space="preserve"> based multi-detection micro plate reader that can perform UV-Vis Absorbance, Fluorescence Intensity, </w:t>
            </w:r>
            <w:r w:rsidRPr="00F9248E">
              <w:rPr>
                <w:rFonts w:ascii="Arial" w:hAnsi="Arial" w:cs="Arial"/>
                <w:color w:val="000000" w:themeColor="text1"/>
              </w:rPr>
              <w:t>Glow</w:t>
            </w:r>
            <w:r>
              <w:rPr>
                <w:rFonts w:ascii="Arial" w:hAnsi="Arial" w:cs="Arial"/>
                <w:color w:val="000000" w:themeColor="text1"/>
              </w:rPr>
              <w:t xml:space="preserve"> </w:t>
            </w:r>
            <w:r w:rsidRPr="001714C1">
              <w:rPr>
                <w:rFonts w:ascii="Arial" w:hAnsi="Arial" w:cs="Arial"/>
                <w:color w:val="000000" w:themeColor="text1"/>
              </w:rPr>
              <w:t xml:space="preserve">Luminescence </w:t>
            </w:r>
            <w:r>
              <w:rPr>
                <w:rFonts w:ascii="Arial" w:hAnsi="Arial" w:cs="Arial"/>
                <w:color w:val="000000" w:themeColor="text1"/>
              </w:rPr>
              <w:t xml:space="preserve">or better </w:t>
            </w:r>
            <w:r w:rsidRPr="001714C1">
              <w:rPr>
                <w:rFonts w:ascii="Arial" w:hAnsi="Arial" w:cs="Arial"/>
                <w:color w:val="000000" w:themeColor="text1"/>
              </w:rPr>
              <w:t>as primary mode detection.</w:t>
            </w:r>
            <w:r w:rsidRPr="001714C1">
              <w:rPr>
                <w:rFonts w:ascii="Arial" w:hAnsi="Arial" w:cs="Arial"/>
                <w:color w:val="FF0000"/>
              </w:rPr>
              <w:t xml:space="preserve"> </w:t>
            </w:r>
            <w:r w:rsidRPr="009A3EA6">
              <w:rPr>
                <w:rFonts w:ascii="Arial" w:hAnsi="Arial" w:cs="Arial"/>
                <w:color w:val="000000" w:themeColor="text1"/>
              </w:rPr>
              <w:t>System must have further option to upgrade to TRF and better chemistry is mandatory</w:t>
            </w:r>
            <w:r w:rsidRPr="001714C1">
              <w:rPr>
                <w:rFonts w:ascii="Arial" w:hAnsi="Arial" w:cs="Arial"/>
                <w:color w:val="FF0000"/>
              </w:rPr>
              <w:t xml:space="preserve">. </w:t>
            </w:r>
          </w:p>
        </w:tc>
      </w:tr>
      <w:tr w:rsidR="0028775A" w:rsidTr="001072FF">
        <w:trPr>
          <w:trHeight w:val="630"/>
        </w:trPr>
        <w:tc>
          <w:tcPr>
            <w:tcW w:w="810" w:type="dxa"/>
          </w:tcPr>
          <w:p w:rsidR="0028775A" w:rsidRPr="00621E4D" w:rsidRDefault="0028775A" w:rsidP="001072FF">
            <w:pPr>
              <w:spacing w:after="120"/>
              <w:rPr>
                <w:sz w:val="24"/>
                <w:szCs w:val="24"/>
              </w:rPr>
            </w:pPr>
          </w:p>
        </w:tc>
        <w:tc>
          <w:tcPr>
            <w:tcW w:w="2070" w:type="dxa"/>
            <w:vMerge/>
          </w:tcPr>
          <w:p w:rsidR="0028775A" w:rsidRPr="00621E4D" w:rsidRDefault="0028775A" w:rsidP="001072FF">
            <w:pPr>
              <w:spacing w:after="120"/>
              <w:rPr>
                <w:sz w:val="24"/>
                <w:szCs w:val="24"/>
              </w:rPr>
            </w:pPr>
          </w:p>
        </w:tc>
        <w:tc>
          <w:tcPr>
            <w:tcW w:w="6210" w:type="dxa"/>
            <w:vMerge/>
          </w:tcPr>
          <w:p w:rsidR="0028775A" w:rsidRPr="00621E4D" w:rsidRDefault="0028775A" w:rsidP="001072FF">
            <w:pPr>
              <w:spacing w:after="120"/>
              <w:jc w:val="both"/>
              <w:rPr>
                <w:sz w:val="24"/>
                <w:szCs w:val="24"/>
              </w:rPr>
            </w:pPr>
          </w:p>
        </w:tc>
      </w:tr>
    </w:tbl>
    <w:p w:rsidR="0028775A" w:rsidRPr="00F26AE2" w:rsidRDefault="0028775A" w:rsidP="0028775A">
      <w:pPr>
        <w:spacing w:before="240" w:after="240"/>
        <w:rPr>
          <w:rFonts w:ascii="Arial" w:hAnsi="Arial" w:cs="Arial"/>
          <w:b/>
        </w:rPr>
      </w:pPr>
      <w:r w:rsidRPr="00F26AE2">
        <w:rPr>
          <w:rFonts w:ascii="Arial" w:hAnsi="Arial" w:cs="Arial"/>
          <w:b/>
        </w:rPr>
        <w:t>General Photometric Specification:</w:t>
      </w:r>
    </w:p>
    <w:tbl>
      <w:tblPr>
        <w:tblStyle w:val="TableGrid"/>
        <w:tblW w:w="0" w:type="auto"/>
        <w:tblInd w:w="288" w:type="dxa"/>
        <w:tblBorders>
          <w:top w:val="single" w:sz="18" w:space="0" w:color="00B050"/>
          <w:left w:val="none" w:sz="0" w:space="0" w:color="auto"/>
          <w:bottom w:val="single" w:sz="18" w:space="0" w:color="00B050"/>
          <w:right w:val="none" w:sz="0" w:space="0" w:color="auto"/>
          <w:insideH w:val="none" w:sz="0" w:space="0" w:color="auto"/>
          <w:insideV w:val="none" w:sz="0" w:space="0" w:color="auto"/>
        </w:tblBorders>
        <w:tblLook w:val="04A0"/>
      </w:tblPr>
      <w:tblGrid>
        <w:gridCol w:w="810"/>
        <w:gridCol w:w="2070"/>
        <w:gridCol w:w="6210"/>
      </w:tblGrid>
      <w:tr w:rsidR="0028775A" w:rsidRPr="00F26AE2" w:rsidTr="001072FF">
        <w:tc>
          <w:tcPr>
            <w:tcW w:w="810" w:type="dxa"/>
            <w:tcBorders>
              <w:top w:val="single" w:sz="18" w:space="0" w:color="00B050"/>
              <w:bottom w:val="single" w:sz="18" w:space="0" w:color="00B050"/>
            </w:tcBorders>
          </w:tcPr>
          <w:p w:rsidR="0028775A" w:rsidRPr="00F26AE2" w:rsidRDefault="0028775A" w:rsidP="001072FF">
            <w:pPr>
              <w:spacing w:after="120"/>
              <w:rPr>
                <w:rFonts w:ascii="Arial" w:hAnsi="Arial" w:cs="Arial"/>
                <w:b/>
              </w:rPr>
            </w:pPr>
            <w:r w:rsidRPr="00F26AE2">
              <w:rPr>
                <w:rFonts w:ascii="Arial" w:hAnsi="Arial" w:cs="Arial"/>
                <w:b/>
              </w:rPr>
              <w:t>S. No</w:t>
            </w:r>
          </w:p>
        </w:tc>
        <w:tc>
          <w:tcPr>
            <w:tcW w:w="2070" w:type="dxa"/>
            <w:tcBorders>
              <w:top w:val="single" w:sz="18" w:space="0" w:color="00B050"/>
              <w:bottom w:val="single" w:sz="18" w:space="0" w:color="00B050"/>
            </w:tcBorders>
          </w:tcPr>
          <w:p w:rsidR="0028775A" w:rsidRPr="00F26AE2" w:rsidRDefault="0028775A" w:rsidP="001072FF">
            <w:pPr>
              <w:spacing w:after="120"/>
              <w:rPr>
                <w:rFonts w:ascii="Arial" w:hAnsi="Arial" w:cs="Arial"/>
                <w:b/>
              </w:rPr>
            </w:pPr>
            <w:r w:rsidRPr="00F26AE2">
              <w:rPr>
                <w:rFonts w:ascii="Arial" w:hAnsi="Arial" w:cs="Arial"/>
                <w:b/>
              </w:rPr>
              <w:t>Specification</w:t>
            </w:r>
          </w:p>
        </w:tc>
        <w:tc>
          <w:tcPr>
            <w:tcW w:w="6210" w:type="dxa"/>
            <w:tcBorders>
              <w:top w:val="single" w:sz="18" w:space="0" w:color="00B050"/>
              <w:bottom w:val="single" w:sz="18" w:space="0" w:color="00B050"/>
            </w:tcBorders>
          </w:tcPr>
          <w:p w:rsidR="0028775A" w:rsidRPr="00F26AE2" w:rsidRDefault="0028775A" w:rsidP="001072FF">
            <w:pPr>
              <w:spacing w:after="120"/>
              <w:rPr>
                <w:rFonts w:ascii="Arial" w:hAnsi="Arial" w:cs="Arial"/>
                <w:b/>
              </w:rPr>
            </w:pPr>
            <w:r w:rsidRPr="00F26AE2">
              <w:rPr>
                <w:rFonts w:ascii="Arial" w:hAnsi="Arial" w:cs="Arial"/>
                <w:b/>
              </w:rPr>
              <w:t>Descriptions</w:t>
            </w:r>
          </w:p>
        </w:tc>
      </w:tr>
      <w:tr w:rsidR="0028775A" w:rsidRPr="00F26AE2" w:rsidTr="001072FF">
        <w:trPr>
          <w:trHeight w:val="476"/>
        </w:trPr>
        <w:tc>
          <w:tcPr>
            <w:tcW w:w="810" w:type="dxa"/>
            <w:tcBorders>
              <w:top w:val="single" w:sz="18" w:space="0" w:color="00B050"/>
            </w:tcBorders>
          </w:tcPr>
          <w:p w:rsidR="0028775A" w:rsidRPr="00F26AE2" w:rsidRDefault="0028775A" w:rsidP="001072FF">
            <w:pPr>
              <w:spacing w:after="120"/>
              <w:rPr>
                <w:rFonts w:ascii="Arial" w:hAnsi="Arial" w:cs="Arial"/>
              </w:rPr>
            </w:pPr>
            <w:r w:rsidRPr="00F26AE2">
              <w:rPr>
                <w:rFonts w:ascii="Arial" w:hAnsi="Arial" w:cs="Arial"/>
              </w:rPr>
              <w:t>1</w:t>
            </w:r>
          </w:p>
        </w:tc>
        <w:tc>
          <w:tcPr>
            <w:tcW w:w="2070" w:type="dxa"/>
            <w:tcBorders>
              <w:top w:val="single" w:sz="18" w:space="0" w:color="00B050"/>
            </w:tcBorders>
          </w:tcPr>
          <w:p w:rsidR="0028775A" w:rsidRPr="00F26AE2" w:rsidRDefault="0028775A" w:rsidP="001072FF">
            <w:pPr>
              <w:spacing w:after="120"/>
              <w:rPr>
                <w:rFonts w:ascii="Arial" w:hAnsi="Arial" w:cs="Arial"/>
              </w:rPr>
            </w:pPr>
            <w:r w:rsidRPr="00F26AE2">
              <w:rPr>
                <w:rFonts w:ascii="Arial" w:hAnsi="Arial" w:cs="Arial"/>
              </w:rPr>
              <w:t>Light source</w:t>
            </w:r>
          </w:p>
        </w:tc>
        <w:tc>
          <w:tcPr>
            <w:tcW w:w="6210" w:type="dxa"/>
            <w:tcBorders>
              <w:top w:val="single" w:sz="18" w:space="0" w:color="00B050"/>
            </w:tcBorders>
          </w:tcPr>
          <w:p w:rsidR="0028775A" w:rsidRPr="001714C1" w:rsidRDefault="0028775A" w:rsidP="001072FF">
            <w:pPr>
              <w:jc w:val="both"/>
              <w:rPr>
                <w:rFonts w:ascii="Arial" w:hAnsi="Arial" w:cs="Arial"/>
                <w:color w:val="000000" w:themeColor="text1"/>
              </w:rPr>
            </w:pPr>
            <w:r w:rsidRPr="001714C1">
              <w:rPr>
                <w:rFonts w:ascii="Arial" w:hAnsi="Arial" w:cs="Arial"/>
                <w:color w:val="000000" w:themeColor="text1"/>
              </w:rPr>
              <w:t xml:space="preserve">Xenon flash lamp or better </w:t>
            </w:r>
          </w:p>
        </w:tc>
      </w:tr>
      <w:tr w:rsidR="0028775A" w:rsidRPr="00F26AE2" w:rsidTr="001072FF">
        <w:tc>
          <w:tcPr>
            <w:tcW w:w="810" w:type="dxa"/>
          </w:tcPr>
          <w:p w:rsidR="0028775A" w:rsidRPr="00F26AE2" w:rsidRDefault="0028775A" w:rsidP="001072FF">
            <w:pPr>
              <w:spacing w:after="120"/>
              <w:rPr>
                <w:rFonts w:ascii="Arial" w:hAnsi="Arial" w:cs="Arial"/>
              </w:rPr>
            </w:pPr>
            <w:r w:rsidRPr="00F26AE2">
              <w:rPr>
                <w:rFonts w:ascii="Arial" w:hAnsi="Arial" w:cs="Arial"/>
              </w:rPr>
              <w:t>2</w:t>
            </w:r>
          </w:p>
        </w:tc>
        <w:tc>
          <w:tcPr>
            <w:tcW w:w="2070" w:type="dxa"/>
          </w:tcPr>
          <w:p w:rsidR="0028775A" w:rsidRPr="00F26AE2" w:rsidRDefault="0028775A" w:rsidP="001072FF">
            <w:pPr>
              <w:rPr>
                <w:rFonts w:ascii="Arial" w:hAnsi="Arial" w:cs="Arial"/>
              </w:rPr>
            </w:pPr>
            <w:proofErr w:type="spellStart"/>
            <w:r w:rsidRPr="00F26AE2">
              <w:rPr>
                <w:rFonts w:ascii="Arial" w:hAnsi="Arial" w:cs="Arial"/>
              </w:rPr>
              <w:t>Monochromator</w:t>
            </w:r>
            <w:proofErr w:type="spellEnd"/>
          </w:p>
        </w:tc>
        <w:tc>
          <w:tcPr>
            <w:tcW w:w="6210" w:type="dxa"/>
          </w:tcPr>
          <w:p w:rsidR="0028775A" w:rsidRPr="00F26AE2" w:rsidRDefault="0028775A" w:rsidP="001072FF">
            <w:pPr>
              <w:jc w:val="both"/>
              <w:rPr>
                <w:rFonts w:ascii="Arial" w:hAnsi="Arial" w:cs="Arial"/>
              </w:rPr>
            </w:pPr>
            <w:r w:rsidRPr="00F26AE2">
              <w:rPr>
                <w:rFonts w:ascii="Arial" w:hAnsi="Arial" w:cs="Arial"/>
              </w:rPr>
              <w:t>Du</w:t>
            </w:r>
            <w:r>
              <w:rPr>
                <w:rFonts w:ascii="Arial" w:hAnsi="Arial" w:cs="Arial"/>
              </w:rPr>
              <w:t>a</w:t>
            </w:r>
            <w:r w:rsidRPr="00F26AE2">
              <w:rPr>
                <w:rFonts w:ascii="Arial" w:hAnsi="Arial" w:cs="Arial"/>
              </w:rPr>
              <w:t xml:space="preserve">l </w:t>
            </w:r>
            <w:proofErr w:type="spellStart"/>
            <w:r w:rsidRPr="00F26AE2">
              <w:rPr>
                <w:rFonts w:ascii="Arial" w:hAnsi="Arial" w:cs="Arial"/>
              </w:rPr>
              <w:t>monochromator</w:t>
            </w:r>
            <w:proofErr w:type="spellEnd"/>
            <w:r w:rsidRPr="00F26AE2">
              <w:rPr>
                <w:rFonts w:ascii="Arial" w:hAnsi="Arial" w:cs="Arial"/>
              </w:rPr>
              <w:t xml:space="preserve"> or better;</w:t>
            </w:r>
          </w:p>
          <w:p w:rsidR="0028775A" w:rsidRPr="00F26AE2" w:rsidRDefault="0028775A" w:rsidP="001072FF">
            <w:pPr>
              <w:jc w:val="both"/>
              <w:rPr>
                <w:rFonts w:ascii="Arial" w:hAnsi="Arial" w:cs="Arial"/>
              </w:rPr>
            </w:pPr>
            <w:r w:rsidRPr="00F26AE2">
              <w:rPr>
                <w:rFonts w:ascii="Arial" w:hAnsi="Arial" w:cs="Arial"/>
              </w:rPr>
              <w:t>Excitation 2</w:t>
            </w:r>
            <w:r>
              <w:rPr>
                <w:rFonts w:ascii="Arial" w:hAnsi="Arial" w:cs="Arial"/>
              </w:rPr>
              <w:t>0</w:t>
            </w:r>
            <w:r w:rsidRPr="00F26AE2">
              <w:rPr>
                <w:rFonts w:ascii="Arial" w:hAnsi="Arial" w:cs="Arial"/>
              </w:rPr>
              <w:t>0 – 850 nm or better</w:t>
            </w:r>
          </w:p>
        </w:tc>
      </w:tr>
      <w:tr w:rsidR="0028775A" w:rsidRPr="00F26AE2" w:rsidTr="001072FF">
        <w:tc>
          <w:tcPr>
            <w:tcW w:w="810" w:type="dxa"/>
          </w:tcPr>
          <w:p w:rsidR="0028775A" w:rsidRPr="00F26AE2" w:rsidRDefault="0028775A" w:rsidP="001072FF">
            <w:pPr>
              <w:spacing w:before="120" w:after="120"/>
              <w:rPr>
                <w:rFonts w:ascii="Arial" w:hAnsi="Arial" w:cs="Arial"/>
              </w:rPr>
            </w:pPr>
            <w:r w:rsidRPr="00F26AE2">
              <w:rPr>
                <w:rFonts w:ascii="Arial" w:hAnsi="Arial" w:cs="Arial"/>
              </w:rPr>
              <w:t>3</w:t>
            </w:r>
          </w:p>
        </w:tc>
        <w:tc>
          <w:tcPr>
            <w:tcW w:w="2070" w:type="dxa"/>
          </w:tcPr>
          <w:p w:rsidR="0028775A" w:rsidRPr="00F26AE2" w:rsidRDefault="0028775A" w:rsidP="001072FF">
            <w:pPr>
              <w:spacing w:before="120" w:after="120"/>
              <w:rPr>
                <w:rFonts w:ascii="Arial" w:hAnsi="Arial" w:cs="Arial"/>
              </w:rPr>
            </w:pPr>
            <w:r w:rsidRPr="00F26AE2">
              <w:rPr>
                <w:rFonts w:ascii="Arial" w:hAnsi="Arial" w:cs="Arial"/>
              </w:rPr>
              <w:t xml:space="preserve">Detector </w:t>
            </w:r>
          </w:p>
        </w:tc>
        <w:tc>
          <w:tcPr>
            <w:tcW w:w="6210" w:type="dxa"/>
          </w:tcPr>
          <w:p w:rsidR="0028775A" w:rsidRPr="00F26AE2" w:rsidRDefault="0028775A" w:rsidP="001072FF">
            <w:pPr>
              <w:spacing w:before="120" w:after="120"/>
              <w:jc w:val="both"/>
              <w:rPr>
                <w:rFonts w:ascii="Arial" w:hAnsi="Arial" w:cs="Arial"/>
              </w:rPr>
            </w:pPr>
            <w:r w:rsidRPr="00F26AE2">
              <w:rPr>
                <w:rFonts w:ascii="Arial" w:hAnsi="Arial" w:cs="Arial"/>
              </w:rPr>
              <w:t xml:space="preserve">Photomultiplier tubes or better </w:t>
            </w:r>
            <w:r>
              <w:rPr>
                <w:rFonts w:ascii="Arial" w:hAnsi="Arial" w:cs="Arial"/>
              </w:rPr>
              <w:t>combination</w:t>
            </w:r>
          </w:p>
        </w:tc>
      </w:tr>
      <w:tr w:rsidR="0028775A" w:rsidRPr="00F26AE2" w:rsidTr="001072FF">
        <w:tc>
          <w:tcPr>
            <w:tcW w:w="810" w:type="dxa"/>
          </w:tcPr>
          <w:p w:rsidR="0028775A" w:rsidRPr="001613DD" w:rsidRDefault="0028775A" w:rsidP="001072FF">
            <w:pPr>
              <w:spacing w:after="120"/>
              <w:rPr>
                <w:rFonts w:ascii="Arial" w:hAnsi="Arial" w:cs="Arial"/>
                <w:color w:val="000000" w:themeColor="text1"/>
              </w:rPr>
            </w:pPr>
            <w:r w:rsidRPr="001613DD">
              <w:rPr>
                <w:rFonts w:ascii="Arial" w:hAnsi="Arial" w:cs="Arial"/>
                <w:color w:val="000000" w:themeColor="text1"/>
              </w:rPr>
              <w:t>4</w:t>
            </w:r>
          </w:p>
        </w:tc>
        <w:tc>
          <w:tcPr>
            <w:tcW w:w="2070" w:type="dxa"/>
          </w:tcPr>
          <w:p w:rsidR="0028775A" w:rsidRPr="005572D0" w:rsidRDefault="0028775A" w:rsidP="001072FF">
            <w:pPr>
              <w:spacing w:after="120"/>
              <w:rPr>
                <w:rFonts w:ascii="Arial" w:hAnsi="Arial" w:cs="Arial"/>
                <w:color w:val="000000" w:themeColor="text1"/>
              </w:rPr>
            </w:pPr>
            <w:r w:rsidRPr="005572D0">
              <w:rPr>
                <w:rFonts w:ascii="Arial" w:hAnsi="Arial" w:cs="Arial"/>
                <w:color w:val="000000" w:themeColor="text1"/>
              </w:rPr>
              <w:t xml:space="preserve">Plate and </w:t>
            </w:r>
            <w:proofErr w:type="spellStart"/>
            <w:r w:rsidRPr="005572D0">
              <w:rPr>
                <w:rFonts w:ascii="Arial" w:hAnsi="Arial" w:cs="Arial"/>
                <w:color w:val="000000" w:themeColor="text1"/>
              </w:rPr>
              <w:t>Cuvette</w:t>
            </w:r>
            <w:proofErr w:type="spellEnd"/>
            <w:r w:rsidRPr="005572D0">
              <w:rPr>
                <w:rFonts w:ascii="Arial" w:hAnsi="Arial" w:cs="Arial"/>
                <w:color w:val="000000" w:themeColor="text1"/>
              </w:rPr>
              <w:t xml:space="preserve"> format &amp;</w:t>
            </w:r>
          </w:p>
          <w:p w:rsidR="0028775A" w:rsidRPr="005572D0" w:rsidRDefault="0028775A" w:rsidP="001072FF">
            <w:pPr>
              <w:spacing w:after="120"/>
              <w:rPr>
                <w:rFonts w:ascii="Arial" w:hAnsi="Arial" w:cs="Arial"/>
                <w:color w:val="000000" w:themeColor="text1"/>
              </w:rPr>
            </w:pPr>
          </w:p>
          <w:p w:rsidR="0028775A" w:rsidRPr="005572D0" w:rsidRDefault="0028775A" w:rsidP="001072FF">
            <w:pPr>
              <w:spacing w:after="120"/>
              <w:rPr>
                <w:rFonts w:ascii="Arial" w:hAnsi="Arial" w:cs="Arial"/>
                <w:color w:val="000000" w:themeColor="text1"/>
              </w:rPr>
            </w:pPr>
            <w:r w:rsidRPr="005572D0">
              <w:rPr>
                <w:rFonts w:ascii="Arial" w:hAnsi="Arial" w:cs="Arial"/>
                <w:color w:val="000000" w:themeColor="text1"/>
              </w:rPr>
              <w:t>Plate reading time</w:t>
            </w:r>
          </w:p>
        </w:tc>
        <w:tc>
          <w:tcPr>
            <w:tcW w:w="6210" w:type="dxa"/>
          </w:tcPr>
          <w:p w:rsidR="0028775A" w:rsidRPr="005572D0" w:rsidRDefault="0028775A" w:rsidP="001072FF">
            <w:pPr>
              <w:spacing w:after="120"/>
              <w:jc w:val="both"/>
              <w:rPr>
                <w:rFonts w:ascii="Arial" w:hAnsi="Arial" w:cs="Arial"/>
                <w:color w:val="000000" w:themeColor="text1"/>
              </w:rPr>
            </w:pPr>
            <w:r w:rsidRPr="005572D0">
              <w:rPr>
                <w:rFonts w:ascii="Arial" w:hAnsi="Arial" w:cs="Arial"/>
                <w:color w:val="000000" w:themeColor="text1"/>
              </w:rPr>
              <w:t xml:space="preserve">6 to 384 well plates and vertical </w:t>
            </w:r>
            <w:proofErr w:type="spellStart"/>
            <w:r w:rsidRPr="005572D0">
              <w:rPr>
                <w:rFonts w:ascii="Arial" w:hAnsi="Arial" w:cs="Arial"/>
                <w:color w:val="000000" w:themeColor="text1"/>
              </w:rPr>
              <w:t>cuvette</w:t>
            </w:r>
            <w:proofErr w:type="spellEnd"/>
            <w:r w:rsidRPr="005572D0">
              <w:rPr>
                <w:rFonts w:ascii="Arial" w:hAnsi="Arial" w:cs="Arial"/>
                <w:color w:val="000000" w:themeColor="text1"/>
              </w:rPr>
              <w:t xml:space="preserve"> mode measurement for absorbance, fluorescence and luminescence  measurements </w:t>
            </w:r>
          </w:p>
          <w:p w:rsidR="0028775A" w:rsidRPr="005572D0" w:rsidRDefault="0028775A" w:rsidP="001072FF">
            <w:pPr>
              <w:spacing w:after="120"/>
              <w:jc w:val="both"/>
              <w:rPr>
                <w:rFonts w:ascii="Arial" w:hAnsi="Arial" w:cs="Arial"/>
                <w:color w:val="000000" w:themeColor="text1"/>
              </w:rPr>
            </w:pPr>
            <w:r w:rsidRPr="005572D0">
              <w:rPr>
                <w:rFonts w:ascii="Arial" w:hAnsi="Arial" w:cs="Arial"/>
                <w:color w:val="000000" w:themeColor="text1"/>
              </w:rPr>
              <w:t>≤ 30 sec for 96 well plates  or better &amp; ≤ 60 sec or better for 384 well plate</w:t>
            </w:r>
          </w:p>
        </w:tc>
      </w:tr>
      <w:tr w:rsidR="0028775A" w:rsidRPr="00F26AE2" w:rsidTr="001072FF">
        <w:tc>
          <w:tcPr>
            <w:tcW w:w="810" w:type="dxa"/>
          </w:tcPr>
          <w:p w:rsidR="0028775A" w:rsidRPr="00F26AE2" w:rsidRDefault="0028775A" w:rsidP="001072FF">
            <w:pPr>
              <w:spacing w:after="120"/>
              <w:rPr>
                <w:rFonts w:ascii="Arial" w:hAnsi="Arial" w:cs="Arial"/>
              </w:rPr>
            </w:pPr>
            <w:r w:rsidRPr="00F26AE2">
              <w:rPr>
                <w:rFonts w:ascii="Arial" w:hAnsi="Arial" w:cs="Arial"/>
              </w:rPr>
              <w:t>5</w:t>
            </w:r>
          </w:p>
        </w:tc>
        <w:tc>
          <w:tcPr>
            <w:tcW w:w="2070" w:type="dxa"/>
          </w:tcPr>
          <w:p w:rsidR="0028775A" w:rsidRPr="00F26AE2" w:rsidRDefault="0028775A" w:rsidP="001072FF">
            <w:pPr>
              <w:spacing w:after="120"/>
              <w:rPr>
                <w:rFonts w:ascii="Arial" w:hAnsi="Arial" w:cs="Arial"/>
              </w:rPr>
            </w:pPr>
            <w:r w:rsidRPr="00F26AE2">
              <w:rPr>
                <w:rFonts w:ascii="Arial" w:hAnsi="Arial" w:cs="Arial"/>
              </w:rPr>
              <w:t xml:space="preserve">Shaker time </w:t>
            </w:r>
          </w:p>
        </w:tc>
        <w:tc>
          <w:tcPr>
            <w:tcW w:w="6210" w:type="dxa"/>
          </w:tcPr>
          <w:p w:rsidR="0028775A" w:rsidRPr="00F26AE2" w:rsidRDefault="0028775A" w:rsidP="001072FF">
            <w:pPr>
              <w:spacing w:after="120"/>
              <w:jc w:val="both"/>
              <w:rPr>
                <w:rFonts w:ascii="Arial" w:hAnsi="Arial" w:cs="Arial"/>
              </w:rPr>
            </w:pPr>
            <w:r w:rsidRPr="00F26AE2">
              <w:rPr>
                <w:rFonts w:ascii="Arial" w:hAnsi="Arial" w:cs="Arial"/>
              </w:rPr>
              <w:t>Linear &amp; orbital with adjustable speed and time (0 to 999 sec)</w:t>
            </w:r>
          </w:p>
        </w:tc>
      </w:tr>
      <w:tr w:rsidR="0028775A" w:rsidRPr="00F26AE2" w:rsidTr="001072FF">
        <w:tc>
          <w:tcPr>
            <w:tcW w:w="810" w:type="dxa"/>
          </w:tcPr>
          <w:p w:rsidR="0028775A" w:rsidRPr="001613DD" w:rsidRDefault="0028775A" w:rsidP="001072FF">
            <w:pPr>
              <w:spacing w:after="120"/>
              <w:rPr>
                <w:rFonts w:ascii="Arial" w:hAnsi="Arial" w:cs="Arial"/>
                <w:color w:val="000000" w:themeColor="text1"/>
              </w:rPr>
            </w:pPr>
            <w:r w:rsidRPr="001613DD">
              <w:rPr>
                <w:rFonts w:ascii="Arial" w:hAnsi="Arial" w:cs="Arial"/>
                <w:color w:val="000000" w:themeColor="text1"/>
              </w:rPr>
              <w:t>6</w:t>
            </w:r>
          </w:p>
        </w:tc>
        <w:tc>
          <w:tcPr>
            <w:tcW w:w="2070" w:type="dxa"/>
          </w:tcPr>
          <w:p w:rsidR="0028775A" w:rsidRPr="001613DD" w:rsidRDefault="0028775A" w:rsidP="001072FF">
            <w:pPr>
              <w:spacing w:after="120"/>
              <w:rPr>
                <w:rFonts w:ascii="Arial" w:hAnsi="Arial" w:cs="Arial"/>
                <w:color w:val="000000" w:themeColor="text1"/>
              </w:rPr>
            </w:pPr>
            <w:r w:rsidRPr="001613DD">
              <w:rPr>
                <w:rFonts w:ascii="Arial" w:hAnsi="Arial" w:cs="Arial"/>
                <w:color w:val="000000" w:themeColor="text1"/>
              </w:rPr>
              <w:t>Temperature control and accuracy</w:t>
            </w:r>
          </w:p>
        </w:tc>
        <w:tc>
          <w:tcPr>
            <w:tcW w:w="6210" w:type="dxa"/>
          </w:tcPr>
          <w:p w:rsidR="0028775A" w:rsidRPr="001613DD" w:rsidRDefault="0028775A" w:rsidP="001072FF">
            <w:pPr>
              <w:spacing w:after="120"/>
              <w:jc w:val="both"/>
              <w:rPr>
                <w:rFonts w:ascii="Arial" w:hAnsi="Arial" w:cs="Arial"/>
                <w:color w:val="000000" w:themeColor="text1"/>
              </w:rPr>
            </w:pPr>
            <w:r w:rsidRPr="001613DD">
              <w:rPr>
                <w:rFonts w:ascii="Arial" w:hAnsi="Arial" w:cs="Arial"/>
                <w:color w:val="000000" w:themeColor="text1"/>
              </w:rPr>
              <w:t>2°C above ambient to 50°C or better; ± 1°C</w:t>
            </w:r>
          </w:p>
        </w:tc>
      </w:tr>
    </w:tbl>
    <w:p w:rsidR="0028775A" w:rsidRPr="00F26AE2" w:rsidRDefault="0028775A" w:rsidP="0028775A">
      <w:pPr>
        <w:spacing w:before="240" w:after="240" w:line="360" w:lineRule="auto"/>
        <w:rPr>
          <w:rFonts w:ascii="Arial" w:hAnsi="Arial" w:cs="Arial"/>
          <w:b/>
          <w:bCs/>
        </w:rPr>
      </w:pPr>
      <w:r w:rsidRPr="00F26AE2">
        <w:rPr>
          <w:rFonts w:ascii="Arial" w:hAnsi="Arial" w:cs="Arial"/>
          <w:b/>
        </w:rPr>
        <w:t>Absorbance Photometric Specification</w:t>
      </w:r>
      <w:r w:rsidRPr="00F26AE2">
        <w:rPr>
          <w:rFonts w:ascii="Arial" w:hAnsi="Arial" w:cs="Arial"/>
          <w:b/>
          <w:bCs/>
        </w:rPr>
        <w:t>:</w:t>
      </w:r>
    </w:p>
    <w:tbl>
      <w:tblPr>
        <w:tblStyle w:val="TableGrid"/>
        <w:tblW w:w="0" w:type="auto"/>
        <w:tblBorders>
          <w:top w:val="single" w:sz="18" w:space="0" w:color="00B050"/>
          <w:left w:val="none" w:sz="0" w:space="0" w:color="auto"/>
          <w:bottom w:val="single" w:sz="18" w:space="0" w:color="00B050"/>
          <w:right w:val="none" w:sz="0" w:space="0" w:color="auto"/>
          <w:insideH w:val="none" w:sz="0" w:space="0" w:color="auto"/>
          <w:insideV w:val="none" w:sz="0" w:space="0" w:color="auto"/>
        </w:tblBorders>
        <w:tblLook w:val="04A0"/>
      </w:tblPr>
      <w:tblGrid>
        <w:gridCol w:w="828"/>
        <w:gridCol w:w="2520"/>
        <w:gridCol w:w="6228"/>
      </w:tblGrid>
      <w:tr w:rsidR="0028775A" w:rsidTr="001072FF">
        <w:tc>
          <w:tcPr>
            <w:tcW w:w="828" w:type="dxa"/>
            <w:tcBorders>
              <w:top w:val="single" w:sz="18" w:space="0" w:color="00B050"/>
              <w:bottom w:val="single" w:sz="18" w:space="0" w:color="00B050"/>
            </w:tcBorders>
          </w:tcPr>
          <w:p w:rsidR="0028775A" w:rsidRPr="00F26AE2" w:rsidRDefault="0028775A" w:rsidP="001072FF">
            <w:pPr>
              <w:spacing w:after="120"/>
              <w:rPr>
                <w:rFonts w:ascii="Arial" w:hAnsi="Arial" w:cs="Arial"/>
                <w:b/>
              </w:rPr>
            </w:pPr>
            <w:r w:rsidRPr="00F26AE2">
              <w:rPr>
                <w:rFonts w:ascii="Arial" w:hAnsi="Arial" w:cs="Arial"/>
                <w:b/>
              </w:rPr>
              <w:t>S. No</w:t>
            </w:r>
          </w:p>
        </w:tc>
        <w:tc>
          <w:tcPr>
            <w:tcW w:w="2520" w:type="dxa"/>
            <w:tcBorders>
              <w:top w:val="single" w:sz="18" w:space="0" w:color="00B050"/>
              <w:bottom w:val="single" w:sz="18" w:space="0" w:color="00B050"/>
            </w:tcBorders>
          </w:tcPr>
          <w:p w:rsidR="0028775A" w:rsidRPr="00F26AE2" w:rsidRDefault="0028775A" w:rsidP="001072FF">
            <w:pPr>
              <w:spacing w:after="120"/>
              <w:rPr>
                <w:rFonts w:ascii="Arial" w:hAnsi="Arial" w:cs="Arial"/>
                <w:b/>
              </w:rPr>
            </w:pPr>
            <w:r w:rsidRPr="00F26AE2">
              <w:rPr>
                <w:rFonts w:ascii="Arial" w:hAnsi="Arial" w:cs="Arial"/>
                <w:b/>
              </w:rPr>
              <w:t>Specifications</w:t>
            </w:r>
          </w:p>
        </w:tc>
        <w:tc>
          <w:tcPr>
            <w:tcW w:w="6228" w:type="dxa"/>
            <w:tcBorders>
              <w:top w:val="single" w:sz="18" w:space="0" w:color="00B050"/>
              <w:bottom w:val="single" w:sz="18" w:space="0" w:color="00B050"/>
            </w:tcBorders>
          </w:tcPr>
          <w:p w:rsidR="0028775A" w:rsidRPr="00F26AE2" w:rsidRDefault="0028775A" w:rsidP="001072FF">
            <w:pPr>
              <w:spacing w:after="120"/>
              <w:rPr>
                <w:rFonts w:ascii="Arial" w:hAnsi="Arial" w:cs="Arial"/>
                <w:b/>
              </w:rPr>
            </w:pPr>
            <w:r w:rsidRPr="00F26AE2">
              <w:rPr>
                <w:rFonts w:ascii="Arial" w:hAnsi="Arial" w:cs="Arial"/>
                <w:b/>
              </w:rPr>
              <w:t>Descriptions</w:t>
            </w:r>
          </w:p>
        </w:tc>
      </w:tr>
      <w:tr w:rsidR="0028775A" w:rsidRPr="002E583F" w:rsidTr="001072FF">
        <w:trPr>
          <w:trHeight w:val="395"/>
        </w:trPr>
        <w:tc>
          <w:tcPr>
            <w:tcW w:w="828" w:type="dxa"/>
            <w:tcBorders>
              <w:top w:val="single" w:sz="18" w:space="0" w:color="00B050"/>
            </w:tcBorders>
          </w:tcPr>
          <w:p w:rsidR="0028775A" w:rsidRPr="00F26AE2" w:rsidRDefault="0028775A" w:rsidP="001072FF">
            <w:pPr>
              <w:spacing w:after="120"/>
              <w:rPr>
                <w:rFonts w:ascii="Arial" w:hAnsi="Arial" w:cs="Arial"/>
              </w:rPr>
            </w:pPr>
            <w:r w:rsidRPr="00F26AE2">
              <w:rPr>
                <w:rFonts w:ascii="Arial" w:hAnsi="Arial" w:cs="Arial"/>
              </w:rPr>
              <w:t>1</w:t>
            </w:r>
          </w:p>
        </w:tc>
        <w:tc>
          <w:tcPr>
            <w:tcW w:w="2520" w:type="dxa"/>
            <w:tcBorders>
              <w:top w:val="single" w:sz="18" w:space="0" w:color="00B050"/>
            </w:tcBorders>
          </w:tcPr>
          <w:p w:rsidR="0028775A" w:rsidRPr="00F26AE2" w:rsidRDefault="0028775A" w:rsidP="001072FF">
            <w:pPr>
              <w:spacing w:after="120"/>
              <w:rPr>
                <w:rFonts w:ascii="Arial" w:hAnsi="Arial" w:cs="Arial"/>
              </w:rPr>
            </w:pPr>
            <w:r w:rsidRPr="00F26AE2">
              <w:rPr>
                <w:rFonts w:ascii="Arial" w:hAnsi="Arial" w:cs="Arial"/>
              </w:rPr>
              <w:t xml:space="preserve">Reading Capabilities                             </w:t>
            </w:r>
          </w:p>
        </w:tc>
        <w:tc>
          <w:tcPr>
            <w:tcW w:w="6228" w:type="dxa"/>
            <w:tcBorders>
              <w:top w:val="single" w:sz="18" w:space="0" w:color="00B050"/>
            </w:tcBorders>
          </w:tcPr>
          <w:p w:rsidR="0028775A" w:rsidRPr="00F26AE2" w:rsidRDefault="0028775A" w:rsidP="001072FF">
            <w:pPr>
              <w:spacing w:after="120"/>
              <w:jc w:val="both"/>
              <w:rPr>
                <w:rFonts w:ascii="Arial" w:hAnsi="Arial" w:cs="Arial"/>
              </w:rPr>
            </w:pPr>
            <w:proofErr w:type="spellStart"/>
            <w:r w:rsidRPr="00F26AE2">
              <w:rPr>
                <w:rFonts w:ascii="Arial" w:hAnsi="Arial" w:cs="Arial"/>
              </w:rPr>
              <w:t>Cuvette</w:t>
            </w:r>
            <w:proofErr w:type="spellEnd"/>
            <w:r w:rsidRPr="00F26AE2">
              <w:rPr>
                <w:rFonts w:ascii="Arial" w:hAnsi="Arial" w:cs="Arial"/>
              </w:rPr>
              <w:t xml:space="preserve"> and micro plate </w:t>
            </w:r>
          </w:p>
        </w:tc>
      </w:tr>
      <w:tr w:rsidR="0028775A" w:rsidRPr="00F9248E" w:rsidTr="001072FF">
        <w:trPr>
          <w:trHeight w:val="350"/>
        </w:trPr>
        <w:tc>
          <w:tcPr>
            <w:tcW w:w="828" w:type="dxa"/>
          </w:tcPr>
          <w:p w:rsidR="0028775A" w:rsidRPr="00F26AE2" w:rsidRDefault="0028775A" w:rsidP="001072FF">
            <w:pPr>
              <w:spacing w:after="120"/>
              <w:rPr>
                <w:rFonts w:ascii="Arial" w:hAnsi="Arial" w:cs="Arial"/>
              </w:rPr>
            </w:pPr>
            <w:r w:rsidRPr="00F26AE2">
              <w:rPr>
                <w:rFonts w:ascii="Arial" w:hAnsi="Arial" w:cs="Arial"/>
              </w:rPr>
              <w:t>2</w:t>
            </w:r>
          </w:p>
        </w:tc>
        <w:tc>
          <w:tcPr>
            <w:tcW w:w="2520" w:type="dxa"/>
          </w:tcPr>
          <w:p w:rsidR="0028775A" w:rsidRPr="00F26AE2" w:rsidRDefault="0028775A" w:rsidP="001072FF">
            <w:pPr>
              <w:spacing w:after="120"/>
              <w:rPr>
                <w:rFonts w:ascii="Arial" w:hAnsi="Arial" w:cs="Arial"/>
              </w:rPr>
            </w:pPr>
            <w:r w:rsidRPr="00F26AE2">
              <w:rPr>
                <w:rFonts w:ascii="Arial" w:hAnsi="Arial" w:cs="Arial"/>
              </w:rPr>
              <w:t xml:space="preserve">Wavelength range                                  </w:t>
            </w:r>
          </w:p>
        </w:tc>
        <w:tc>
          <w:tcPr>
            <w:tcW w:w="6228" w:type="dxa"/>
          </w:tcPr>
          <w:p w:rsidR="0028775A" w:rsidRPr="00F9248E" w:rsidRDefault="0028775A" w:rsidP="001072FF">
            <w:pPr>
              <w:spacing w:after="120"/>
              <w:jc w:val="both"/>
              <w:rPr>
                <w:rFonts w:ascii="Arial" w:hAnsi="Arial" w:cs="Arial"/>
              </w:rPr>
            </w:pPr>
            <w:r w:rsidRPr="00F9248E">
              <w:rPr>
                <w:rFonts w:ascii="Arial" w:hAnsi="Arial" w:cs="Arial"/>
              </w:rPr>
              <w:t>200-1000 nm or better</w:t>
            </w:r>
          </w:p>
        </w:tc>
      </w:tr>
      <w:tr w:rsidR="0028775A" w:rsidRPr="00F9248E" w:rsidTr="001072FF">
        <w:trPr>
          <w:trHeight w:val="458"/>
        </w:trPr>
        <w:tc>
          <w:tcPr>
            <w:tcW w:w="828" w:type="dxa"/>
          </w:tcPr>
          <w:p w:rsidR="0028775A" w:rsidRPr="00F26AE2" w:rsidRDefault="0028775A" w:rsidP="001072FF">
            <w:pPr>
              <w:spacing w:after="120"/>
              <w:rPr>
                <w:rFonts w:ascii="Arial" w:hAnsi="Arial" w:cs="Arial"/>
              </w:rPr>
            </w:pPr>
            <w:r w:rsidRPr="00F26AE2">
              <w:rPr>
                <w:rFonts w:ascii="Arial" w:hAnsi="Arial" w:cs="Arial"/>
              </w:rPr>
              <w:t>3</w:t>
            </w:r>
          </w:p>
        </w:tc>
        <w:tc>
          <w:tcPr>
            <w:tcW w:w="2520" w:type="dxa"/>
          </w:tcPr>
          <w:p w:rsidR="0028775A" w:rsidRPr="00F26AE2" w:rsidRDefault="0028775A" w:rsidP="001072FF">
            <w:pPr>
              <w:spacing w:after="120"/>
              <w:rPr>
                <w:rFonts w:ascii="Arial" w:hAnsi="Arial" w:cs="Arial"/>
              </w:rPr>
            </w:pPr>
            <w:r w:rsidRPr="00F26AE2">
              <w:rPr>
                <w:rFonts w:ascii="Arial" w:hAnsi="Arial" w:cs="Arial"/>
              </w:rPr>
              <w:t xml:space="preserve">Wavelength selection                            </w:t>
            </w:r>
          </w:p>
        </w:tc>
        <w:tc>
          <w:tcPr>
            <w:tcW w:w="6228" w:type="dxa"/>
          </w:tcPr>
          <w:p w:rsidR="0028775A" w:rsidRPr="00F9248E" w:rsidRDefault="0028775A" w:rsidP="001072FF">
            <w:pPr>
              <w:spacing w:after="120"/>
              <w:jc w:val="both"/>
              <w:rPr>
                <w:rFonts w:ascii="Arial" w:hAnsi="Arial" w:cs="Arial"/>
              </w:rPr>
            </w:pPr>
            <w:proofErr w:type="spellStart"/>
            <w:r w:rsidRPr="00F9248E">
              <w:rPr>
                <w:rFonts w:ascii="Arial" w:hAnsi="Arial" w:cs="Arial"/>
              </w:rPr>
              <w:t>Monochromator</w:t>
            </w:r>
            <w:proofErr w:type="spellEnd"/>
            <w:r w:rsidRPr="00F9248E">
              <w:rPr>
                <w:rFonts w:ascii="Arial" w:hAnsi="Arial" w:cs="Arial"/>
              </w:rPr>
              <w:t xml:space="preserve"> tunable in 1.0 nm increments or better                                                             </w:t>
            </w:r>
          </w:p>
        </w:tc>
      </w:tr>
      <w:tr w:rsidR="0028775A" w:rsidRPr="002E583F" w:rsidTr="001072FF">
        <w:trPr>
          <w:trHeight w:val="458"/>
        </w:trPr>
        <w:tc>
          <w:tcPr>
            <w:tcW w:w="828" w:type="dxa"/>
          </w:tcPr>
          <w:p w:rsidR="0028775A" w:rsidRPr="00F26AE2" w:rsidRDefault="0028775A" w:rsidP="001072FF">
            <w:pPr>
              <w:spacing w:after="120"/>
              <w:rPr>
                <w:rFonts w:ascii="Arial" w:hAnsi="Arial" w:cs="Arial"/>
              </w:rPr>
            </w:pPr>
          </w:p>
        </w:tc>
        <w:tc>
          <w:tcPr>
            <w:tcW w:w="2520" w:type="dxa"/>
          </w:tcPr>
          <w:p w:rsidR="0028775A" w:rsidRPr="00F26AE2" w:rsidRDefault="0028775A" w:rsidP="001072FF">
            <w:pPr>
              <w:spacing w:after="120"/>
              <w:rPr>
                <w:rFonts w:ascii="Arial" w:hAnsi="Arial" w:cs="Arial"/>
              </w:rPr>
            </w:pPr>
            <w:r>
              <w:rPr>
                <w:rFonts w:ascii="Arial" w:hAnsi="Arial" w:cs="Arial"/>
              </w:rPr>
              <w:t>Path length correction</w:t>
            </w:r>
          </w:p>
        </w:tc>
        <w:tc>
          <w:tcPr>
            <w:tcW w:w="6228" w:type="dxa"/>
          </w:tcPr>
          <w:p w:rsidR="0028775A" w:rsidRPr="00F9248E" w:rsidRDefault="0028775A" w:rsidP="001072FF">
            <w:pPr>
              <w:spacing w:after="120"/>
              <w:jc w:val="both"/>
              <w:rPr>
                <w:rFonts w:ascii="Arial" w:hAnsi="Arial" w:cs="Arial"/>
                <w:highlight w:val="yellow"/>
              </w:rPr>
            </w:pPr>
            <w:r w:rsidRPr="00F9248E">
              <w:rPr>
                <w:rFonts w:ascii="Arial" w:hAnsi="Arial" w:cs="Arial"/>
              </w:rPr>
              <w:t xml:space="preserve">Should support in software/hardware or both </w:t>
            </w:r>
          </w:p>
        </w:tc>
      </w:tr>
      <w:tr w:rsidR="0028775A" w:rsidRPr="002E583F" w:rsidTr="001072FF">
        <w:trPr>
          <w:trHeight w:val="512"/>
        </w:trPr>
        <w:tc>
          <w:tcPr>
            <w:tcW w:w="828" w:type="dxa"/>
          </w:tcPr>
          <w:p w:rsidR="0028775A" w:rsidRPr="00F26AE2" w:rsidRDefault="0028775A" w:rsidP="001072FF">
            <w:pPr>
              <w:spacing w:after="120"/>
              <w:rPr>
                <w:rFonts w:ascii="Arial" w:hAnsi="Arial" w:cs="Arial"/>
              </w:rPr>
            </w:pPr>
            <w:r>
              <w:rPr>
                <w:rFonts w:ascii="Arial" w:hAnsi="Arial" w:cs="Arial"/>
              </w:rPr>
              <w:t>4</w:t>
            </w:r>
          </w:p>
        </w:tc>
        <w:tc>
          <w:tcPr>
            <w:tcW w:w="2520" w:type="dxa"/>
          </w:tcPr>
          <w:p w:rsidR="0028775A" w:rsidRPr="00F26AE2" w:rsidRDefault="0028775A" w:rsidP="001072FF">
            <w:pPr>
              <w:spacing w:after="120"/>
              <w:rPr>
                <w:rFonts w:ascii="Arial" w:hAnsi="Arial" w:cs="Arial"/>
              </w:rPr>
            </w:pPr>
            <w:r w:rsidRPr="00F26AE2">
              <w:rPr>
                <w:rFonts w:ascii="Arial" w:hAnsi="Arial" w:cs="Arial"/>
              </w:rPr>
              <w:t xml:space="preserve">Photometric range                                 </w:t>
            </w:r>
          </w:p>
        </w:tc>
        <w:tc>
          <w:tcPr>
            <w:tcW w:w="6228" w:type="dxa"/>
          </w:tcPr>
          <w:p w:rsidR="0028775A" w:rsidRPr="00F26AE2" w:rsidRDefault="0028775A" w:rsidP="001072FF">
            <w:pPr>
              <w:spacing w:after="120"/>
              <w:jc w:val="both"/>
              <w:rPr>
                <w:rFonts w:ascii="Arial" w:hAnsi="Arial" w:cs="Arial"/>
              </w:rPr>
            </w:pPr>
            <w:r w:rsidRPr="00F26AE2">
              <w:rPr>
                <w:rFonts w:ascii="Arial" w:hAnsi="Arial" w:cs="Arial"/>
              </w:rPr>
              <w:t xml:space="preserve">0 to </w:t>
            </w:r>
            <w:r>
              <w:rPr>
                <w:rFonts w:ascii="Arial" w:hAnsi="Arial" w:cs="Arial"/>
              </w:rPr>
              <w:t>4</w:t>
            </w:r>
            <w:r w:rsidRPr="00F26AE2">
              <w:rPr>
                <w:rFonts w:ascii="Arial" w:hAnsi="Arial" w:cs="Arial"/>
              </w:rPr>
              <w:t xml:space="preserve"> OD or better</w:t>
            </w:r>
          </w:p>
        </w:tc>
      </w:tr>
      <w:tr w:rsidR="0028775A" w:rsidRPr="002E583F" w:rsidTr="001072FF">
        <w:trPr>
          <w:trHeight w:val="306"/>
        </w:trPr>
        <w:tc>
          <w:tcPr>
            <w:tcW w:w="828" w:type="dxa"/>
          </w:tcPr>
          <w:p w:rsidR="0028775A" w:rsidRPr="00F26AE2" w:rsidRDefault="0028775A" w:rsidP="001072FF">
            <w:pPr>
              <w:spacing w:after="120"/>
              <w:rPr>
                <w:rFonts w:ascii="Arial" w:hAnsi="Arial" w:cs="Arial"/>
              </w:rPr>
            </w:pPr>
            <w:r>
              <w:rPr>
                <w:rFonts w:ascii="Arial" w:hAnsi="Arial" w:cs="Arial"/>
              </w:rPr>
              <w:t>5</w:t>
            </w:r>
          </w:p>
        </w:tc>
        <w:tc>
          <w:tcPr>
            <w:tcW w:w="2520" w:type="dxa"/>
          </w:tcPr>
          <w:p w:rsidR="0028775A" w:rsidRPr="00F26AE2" w:rsidRDefault="0028775A" w:rsidP="001072FF">
            <w:pPr>
              <w:spacing w:after="120"/>
              <w:rPr>
                <w:rFonts w:ascii="Arial" w:hAnsi="Arial" w:cs="Arial"/>
              </w:rPr>
            </w:pPr>
            <w:r w:rsidRPr="00F26AE2">
              <w:rPr>
                <w:rFonts w:ascii="Arial" w:hAnsi="Arial" w:cs="Arial"/>
              </w:rPr>
              <w:t xml:space="preserve">Photometric Resolution                        </w:t>
            </w:r>
          </w:p>
        </w:tc>
        <w:tc>
          <w:tcPr>
            <w:tcW w:w="6228" w:type="dxa"/>
          </w:tcPr>
          <w:p w:rsidR="0028775A" w:rsidRPr="00F26AE2" w:rsidRDefault="0028775A" w:rsidP="001072FF">
            <w:pPr>
              <w:spacing w:after="120"/>
              <w:jc w:val="both"/>
              <w:rPr>
                <w:rFonts w:ascii="Arial" w:hAnsi="Arial" w:cs="Arial"/>
              </w:rPr>
            </w:pPr>
            <w:r w:rsidRPr="00F26AE2">
              <w:rPr>
                <w:rFonts w:ascii="Arial" w:hAnsi="Arial" w:cs="Arial"/>
              </w:rPr>
              <w:t>0.001 OD or better</w:t>
            </w:r>
          </w:p>
        </w:tc>
      </w:tr>
    </w:tbl>
    <w:p w:rsidR="0028775A" w:rsidRPr="00F26AE2" w:rsidRDefault="0028775A" w:rsidP="0028775A">
      <w:pPr>
        <w:spacing w:before="240" w:after="240" w:line="360" w:lineRule="auto"/>
        <w:rPr>
          <w:rFonts w:ascii="Arial" w:hAnsi="Arial" w:cs="Arial"/>
          <w:b/>
          <w:bCs/>
        </w:rPr>
      </w:pPr>
      <w:r w:rsidRPr="00F26AE2">
        <w:rPr>
          <w:rFonts w:ascii="Arial" w:hAnsi="Arial" w:cs="Arial"/>
          <w:b/>
        </w:rPr>
        <w:t>Fluorescence Specification</w:t>
      </w:r>
      <w:r w:rsidRPr="00F26AE2">
        <w:rPr>
          <w:rFonts w:ascii="Arial" w:hAnsi="Arial" w:cs="Arial"/>
          <w:b/>
          <w:bCs/>
        </w:rPr>
        <w:t>:</w:t>
      </w:r>
    </w:p>
    <w:tbl>
      <w:tblPr>
        <w:tblStyle w:val="TableGrid"/>
        <w:tblW w:w="0" w:type="auto"/>
        <w:tblBorders>
          <w:top w:val="single" w:sz="18" w:space="0" w:color="00B050"/>
          <w:left w:val="none" w:sz="0" w:space="0" w:color="auto"/>
          <w:bottom w:val="single" w:sz="18" w:space="0" w:color="00B050"/>
          <w:right w:val="none" w:sz="0" w:space="0" w:color="auto"/>
          <w:insideH w:val="none" w:sz="0" w:space="0" w:color="auto"/>
          <w:insideV w:val="none" w:sz="0" w:space="0" w:color="auto"/>
        </w:tblBorders>
        <w:tblLook w:val="04A0"/>
      </w:tblPr>
      <w:tblGrid>
        <w:gridCol w:w="828"/>
        <w:gridCol w:w="2520"/>
        <w:gridCol w:w="6228"/>
      </w:tblGrid>
      <w:tr w:rsidR="0028775A" w:rsidTr="001072FF">
        <w:tc>
          <w:tcPr>
            <w:tcW w:w="828" w:type="dxa"/>
            <w:tcBorders>
              <w:top w:val="single" w:sz="18" w:space="0" w:color="00B050"/>
              <w:bottom w:val="single" w:sz="18" w:space="0" w:color="00B050"/>
            </w:tcBorders>
          </w:tcPr>
          <w:p w:rsidR="0028775A" w:rsidRPr="00F26AE2" w:rsidRDefault="0028775A" w:rsidP="001072FF">
            <w:pPr>
              <w:spacing w:after="120"/>
              <w:rPr>
                <w:rFonts w:ascii="Arial" w:hAnsi="Arial" w:cs="Arial"/>
                <w:b/>
              </w:rPr>
            </w:pPr>
            <w:r w:rsidRPr="00F26AE2">
              <w:rPr>
                <w:rFonts w:ascii="Arial" w:hAnsi="Arial" w:cs="Arial"/>
                <w:b/>
              </w:rPr>
              <w:t>S. No</w:t>
            </w:r>
          </w:p>
        </w:tc>
        <w:tc>
          <w:tcPr>
            <w:tcW w:w="2520" w:type="dxa"/>
            <w:tcBorders>
              <w:top w:val="single" w:sz="18" w:space="0" w:color="00B050"/>
              <w:bottom w:val="single" w:sz="18" w:space="0" w:color="00B050"/>
            </w:tcBorders>
          </w:tcPr>
          <w:p w:rsidR="0028775A" w:rsidRPr="00F26AE2" w:rsidRDefault="0028775A" w:rsidP="001072FF">
            <w:pPr>
              <w:spacing w:after="120"/>
              <w:rPr>
                <w:rFonts w:ascii="Arial" w:hAnsi="Arial" w:cs="Arial"/>
                <w:b/>
              </w:rPr>
            </w:pPr>
            <w:r w:rsidRPr="00F26AE2">
              <w:rPr>
                <w:rFonts w:ascii="Arial" w:hAnsi="Arial" w:cs="Arial"/>
                <w:b/>
              </w:rPr>
              <w:t>Specifications</w:t>
            </w:r>
          </w:p>
        </w:tc>
        <w:tc>
          <w:tcPr>
            <w:tcW w:w="6228" w:type="dxa"/>
            <w:tcBorders>
              <w:top w:val="single" w:sz="18" w:space="0" w:color="00B050"/>
              <w:bottom w:val="single" w:sz="18" w:space="0" w:color="00B050"/>
            </w:tcBorders>
          </w:tcPr>
          <w:p w:rsidR="0028775A" w:rsidRPr="00F26AE2" w:rsidRDefault="0028775A" w:rsidP="001072FF">
            <w:pPr>
              <w:spacing w:after="120"/>
              <w:rPr>
                <w:rFonts w:ascii="Arial" w:hAnsi="Arial" w:cs="Arial"/>
                <w:b/>
              </w:rPr>
            </w:pPr>
            <w:r w:rsidRPr="00F26AE2">
              <w:rPr>
                <w:rFonts w:ascii="Arial" w:hAnsi="Arial" w:cs="Arial"/>
                <w:b/>
              </w:rPr>
              <w:t>Descriptions</w:t>
            </w:r>
          </w:p>
        </w:tc>
      </w:tr>
      <w:tr w:rsidR="0028775A" w:rsidRPr="002E583F" w:rsidTr="001072FF">
        <w:trPr>
          <w:trHeight w:val="395"/>
        </w:trPr>
        <w:tc>
          <w:tcPr>
            <w:tcW w:w="828" w:type="dxa"/>
            <w:tcBorders>
              <w:top w:val="single" w:sz="18" w:space="0" w:color="00B050"/>
            </w:tcBorders>
          </w:tcPr>
          <w:p w:rsidR="0028775A" w:rsidRPr="00F26AE2" w:rsidRDefault="0028775A" w:rsidP="001072FF">
            <w:pPr>
              <w:spacing w:after="120"/>
              <w:rPr>
                <w:rFonts w:ascii="Arial" w:hAnsi="Arial" w:cs="Arial"/>
              </w:rPr>
            </w:pPr>
            <w:r w:rsidRPr="00F26AE2">
              <w:rPr>
                <w:rFonts w:ascii="Arial" w:hAnsi="Arial" w:cs="Arial"/>
              </w:rPr>
              <w:t>1</w:t>
            </w:r>
          </w:p>
        </w:tc>
        <w:tc>
          <w:tcPr>
            <w:tcW w:w="2520" w:type="dxa"/>
            <w:tcBorders>
              <w:top w:val="single" w:sz="18" w:space="0" w:color="00B050"/>
            </w:tcBorders>
          </w:tcPr>
          <w:p w:rsidR="0028775A" w:rsidRPr="00F26AE2" w:rsidRDefault="0028775A" w:rsidP="001072FF">
            <w:pPr>
              <w:spacing w:after="120"/>
              <w:rPr>
                <w:rFonts w:ascii="Arial" w:hAnsi="Arial" w:cs="Arial"/>
              </w:rPr>
            </w:pPr>
            <w:r w:rsidRPr="00F26AE2">
              <w:rPr>
                <w:rFonts w:ascii="Arial" w:hAnsi="Arial" w:cs="Arial"/>
              </w:rPr>
              <w:t xml:space="preserve">Reading Capabilities                             </w:t>
            </w:r>
          </w:p>
        </w:tc>
        <w:tc>
          <w:tcPr>
            <w:tcW w:w="6228" w:type="dxa"/>
            <w:tcBorders>
              <w:top w:val="single" w:sz="18" w:space="0" w:color="00B050"/>
            </w:tcBorders>
          </w:tcPr>
          <w:p w:rsidR="0028775A" w:rsidRPr="00F26AE2" w:rsidRDefault="0028775A" w:rsidP="001072FF">
            <w:pPr>
              <w:spacing w:after="120"/>
              <w:jc w:val="both"/>
              <w:rPr>
                <w:rFonts w:ascii="Arial" w:hAnsi="Arial" w:cs="Arial"/>
              </w:rPr>
            </w:pPr>
            <w:proofErr w:type="spellStart"/>
            <w:r w:rsidRPr="00F26AE2">
              <w:rPr>
                <w:rFonts w:ascii="Arial" w:hAnsi="Arial" w:cs="Arial"/>
              </w:rPr>
              <w:t>Cuvette</w:t>
            </w:r>
            <w:proofErr w:type="spellEnd"/>
            <w:r w:rsidRPr="00F26AE2">
              <w:rPr>
                <w:rFonts w:ascii="Arial" w:hAnsi="Arial" w:cs="Arial"/>
              </w:rPr>
              <w:t xml:space="preserve"> </w:t>
            </w:r>
            <w:r>
              <w:rPr>
                <w:rFonts w:ascii="Arial" w:hAnsi="Arial" w:cs="Arial"/>
              </w:rPr>
              <w:t xml:space="preserve">and </w:t>
            </w:r>
            <w:r w:rsidRPr="00F26AE2">
              <w:rPr>
                <w:rFonts w:ascii="Arial" w:hAnsi="Arial" w:cs="Arial"/>
              </w:rPr>
              <w:t xml:space="preserve">micro plate </w:t>
            </w:r>
            <w:r>
              <w:rPr>
                <w:rFonts w:ascii="Arial" w:hAnsi="Arial" w:cs="Arial"/>
              </w:rPr>
              <w:t>(</w:t>
            </w:r>
            <w:r w:rsidRPr="00F26AE2">
              <w:rPr>
                <w:rFonts w:ascii="Arial" w:hAnsi="Arial" w:cs="Arial"/>
              </w:rPr>
              <w:t xml:space="preserve">top &amp; </w:t>
            </w:r>
            <w:r>
              <w:rPr>
                <w:rFonts w:ascii="Arial" w:hAnsi="Arial" w:cs="Arial"/>
              </w:rPr>
              <w:t xml:space="preserve">better mode of detection) </w:t>
            </w:r>
            <w:r w:rsidRPr="00F26AE2">
              <w:rPr>
                <w:rFonts w:ascii="Arial" w:hAnsi="Arial" w:cs="Arial"/>
              </w:rPr>
              <w:t>or better</w:t>
            </w:r>
          </w:p>
        </w:tc>
      </w:tr>
      <w:tr w:rsidR="0028775A" w:rsidRPr="002E583F" w:rsidTr="001072FF">
        <w:trPr>
          <w:trHeight w:val="350"/>
        </w:trPr>
        <w:tc>
          <w:tcPr>
            <w:tcW w:w="828" w:type="dxa"/>
          </w:tcPr>
          <w:p w:rsidR="0028775A" w:rsidRPr="00F26AE2" w:rsidRDefault="0028775A" w:rsidP="001072FF">
            <w:pPr>
              <w:spacing w:after="120"/>
              <w:rPr>
                <w:rFonts w:ascii="Arial" w:hAnsi="Arial" w:cs="Arial"/>
              </w:rPr>
            </w:pPr>
            <w:r w:rsidRPr="00F26AE2">
              <w:rPr>
                <w:rFonts w:ascii="Arial" w:hAnsi="Arial" w:cs="Arial"/>
              </w:rPr>
              <w:t>2</w:t>
            </w:r>
          </w:p>
        </w:tc>
        <w:tc>
          <w:tcPr>
            <w:tcW w:w="2520" w:type="dxa"/>
          </w:tcPr>
          <w:p w:rsidR="0028775A" w:rsidRPr="00F26AE2" w:rsidRDefault="0028775A" w:rsidP="001072FF">
            <w:pPr>
              <w:spacing w:after="120"/>
              <w:rPr>
                <w:rFonts w:ascii="Arial" w:hAnsi="Arial" w:cs="Arial"/>
              </w:rPr>
            </w:pPr>
            <w:r w:rsidRPr="00F26AE2">
              <w:rPr>
                <w:rFonts w:ascii="Arial" w:hAnsi="Arial" w:cs="Arial"/>
              </w:rPr>
              <w:t xml:space="preserve">Wavelength range                                  </w:t>
            </w:r>
          </w:p>
        </w:tc>
        <w:tc>
          <w:tcPr>
            <w:tcW w:w="6228" w:type="dxa"/>
          </w:tcPr>
          <w:p w:rsidR="0028775A" w:rsidRPr="00F26AE2" w:rsidRDefault="0028775A" w:rsidP="001072FF">
            <w:pPr>
              <w:spacing w:after="120"/>
              <w:jc w:val="both"/>
              <w:rPr>
                <w:rFonts w:ascii="Arial" w:hAnsi="Arial" w:cs="Arial"/>
              </w:rPr>
            </w:pPr>
            <w:r w:rsidRPr="00761774">
              <w:rPr>
                <w:rFonts w:ascii="Arial" w:hAnsi="Arial" w:cs="Arial"/>
              </w:rPr>
              <w:t>230-850 nm or better</w:t>
            </w:r>
          </w:p>
        </w:tc>
      </w:tr>
      <w:tr w:rsidR="0028775A" w:rsidRPr="002E583F" w:rsidTr="001072FF">
        <w:trPr>
          <w:trHeight w:val="458"/>
        </w:trPr>
        <w:tc>
          <w:tcPr>
            <w:tcW w:w="828" w:type="dxa"/>
          </w:tcPr>
          <w:p w:rsidR="0028775A" w:rsidRPr="00F26AE2" w:rsidRDefault="0028775A" w:rsidP="001072FF">
            <w:pPr>
              <w:spacing w:after="120"/>
              <w:rPr>
                <w:rFonts w:ascii="Arial" w:hAnsi="Arial" w:cs="Arial"/>
              </w:rPr>
            </w:pPr>
            <w:r w:rsidRPr="00F26AE2">
              <w:rPr>
                <w:rFonts w:ascii="Arial" w:hAnsi="Arial" w:cs="Arial"/>
              </w:rPr>
              <w:t>3</w:t>
            </w:r>
          </w:p>
        </w:tc>
        <w:tc>
          <w:tcPr>
            <w:tcW w:w="2520" w:type="dxa"/>
          </w:tcPr>
          <w:p w:rsidR="0028775A" w:rsidRPr="001613DD" w:rsidRDefault="0028775A" w:rsidP="001072FF">
            <w:pPr>
              <w:spacing w:after="120"/>
              <w:rPr>
                <w:rFonts w:ascii="Arial" w:hAnsi="Arial" w:cs="Arial"/>
                <w:color w:val="000000" w:themeColor="text1"/>
              </w:rPr>
            </w:pPr>
            <w:r w:rsidRPr="001613DD">
              <w:rPr>
                <w:rFonts w:ascii="Arial" w:hAnsi="Arial" w:cs="Arial"/>
                <w:color w:val="000000" w:themeColor="text1"/>
              </w:rPr>
              <w:t xml:space="preserve">Wavelength selection                            </w:t>
            </w:r>
          </w:p>
        </w:tc>
        <w:tc>
          <w:tcPr>
            <w:tcW w:w="6228" w:type="dxa"/>
          </w:tcPr>
          <w:p w:rsidR="0028775A" w:rsidRPr="001613DD" w:rsidRDefault="0028775A" w:rsidP="001072FF">
            <w:pPr>
              <w:spacing w:after="120"/>
              <w:jc w:val="both"/>
              <w:rPr>
                <w:rFonts w:ascii="Arial" w:hAnsi="Arial" w:cs="Arial"/>
                <w:color w:val="000000" w:themeColor="text1"/>
              </w:rPr>
            </w:pPr>
            <w:proofErr w:type="spellStart"/>
            <w:r w:rsidRPr="001613DD">
              <w:rPr>
                <w:rFonts w:ascii="Arial" w:hAnsi="Arial" w:cs="Arial"/>
                <w:color w:val="000000" w:themeColor="text1"/>
              </w:rPr>
              <w:t>Monochromator</w:t>
            </w:r>
            <w:proofErr w:type="spellEnd"/>
            <w:r w:rsidRPr="001613DD">
              <w:rPr>
                <w:rFonts w:ascii="Arial" w:hAnsi="Arial" w:cs="Arial"/>
                <w:color w:val="000000" w:themeColor="text1"/>
              </w:rPr>
              <w:t xml:space="preserve"> tunable in 1.0 nm increments or better                                                             </w:t>
            </w:r>
          </w:p>
        </w:tc>
      </w:tr>
      <w:tr w:rsidR="0028775A" w:rsidRPr="00C314DE" w:rsidTr="001072FF">
        <w:trPr>
          <w:trHeight w:val="495"/>
        </w:trPr>
        <w:tc>
          <w:tcPr>
            <w:tcW w:w="828" w:type="dxa"/>
          </w:tcPr>
          <w:p w:rsidR="0028775A" w:rsidRPr="00F26AE2" w:rsidRDefault="0028775A" w:rsidP="001072FF">
            <w:pPr>
              <w:spacing w:after="120"/>
              <w:rPr>
                <w:rFonts w:ascii="Arial" w:hAnsi="Arial" w:cs="Arial"/>
              </w:rPr>
            </w:pPr>
            <w:r w:rsidRPr="00F26AE2">
              <w:rPr>
                <w:rFonts w:ascii="Arial" w:hAnsi="Arial" w:cs="Arial"/>
              </w:rPr>
              <w:t>4</w:t>
            </w:r>
          </w:p>
        </w:tc>
        <w:tc>
          <w:tcPr>
            <w:tcW w:w="2520" w:type="dxa"/>
          </w:tcPr>
          <w:p w:rsidR="0028775A" w:rsidRPr="001613DD" w:rsidRDefault="0028775A" w:rsidP="001072FF">
            <w:pPr>
              <w:spacing w:after="120"/>
              <w:rPr>
                <w:rFonts w:ascii="Arial" w:hAnsi="Arial" w:cs="Arial"/>
                <w:color w:val="000000" w:themeColor="text1"/>
              </w:rPr>
            </w:pPr>
            <w:r w:rsidRPr="001613DD">
              <w:rPr>
                <w:rFonts w:ascii="Arial" w:hAnsi="Arial" w:cs="Arial"/>
                <w:color w:val="000000" w:themeColor="text1"/>
              </w:rPr>
              <w:t xml:space="preserve">Bandwidth (EX, EM)                   </w:t>
            </w:r>
          </w:p>
        </w:tc>
        <w:tc>
          <w:tcPr>
            <w:tcW w:w="6228" w:type="dxa"/>
          </w:tcPr>
          <w:p w:rsidR="0028775A" w:rsidRPr="001613DD" w:rsidRDefault="0028775A" w:rsidP="001072FF">
            <w:pPr>
              <w:spacing w:after="120"/>
              <w:jc w:val="both"/>
              <w:rPr>
                <w:rFonts w:ascii="Arial" w:hAnsi="Arial" w:cs="Arial"/>
                <w:color w:val="000000" w:themeColor="text1"/>
              </w:rPr>
            </w:pPr>
            <w:r w:rsidRPr="001613DD">
              <w:rPr>
                <w:rFonts w:ascii="Arial" w:hAnsi="Arial" w:cs="Arial"/>
                <w:color w:val="000000" w:themeColor="text1"/>
              </w:rPr>
              <w:t>9 nm or better; 15 nm or better</w:t>
            </w:r>
          </w:p>
        </w:tc>
      </w:tr>
      <w:tr w:rsidR="0028775A" w:rsidRPr="002E583F" w:rsidTr="001072FF">
        <w:trPr>
          <w:trHeight w:val="512"/>
        </w:trPr>
        <w:tc>
          <w:tcPr>
            <w:tcW w:w="828" w:type="dxa"/>
          </w:tcPr>
          <w:p w:rsidR="0028775A" w:rsidRPr="00F26AE2" w:rsidRDefault="0028775A" w:rsidP="001072FF">
            <w:pPr>
              <w:spacing w:after="120"/>
              <w:rPr>
                <w:rFonts w:ascii="Arial" w:hAnsi="Arial" w:cs="Arial"/>
              </w:rPr>
            </w:pPr>
            <w:r w:rsidRPr="00F26AE2">
              <w:rPr>
                <w:rFonts w:ascii="Arial" w:hAnsi="Arial" w:cs="Arial"/>
              </w:rPr>
              <w:t>5</w:t>
            </w:r>
          </w:p>
        </w:tc>
        <w:tc>
          <w:tcPr>
            <w:tcW w:w="2520" w:type="dxa"/>
          </w:tcPr>
          <w:p w:rsidR="0028775A" w:rsidRPr="00F26AE2" w:rsidRDefault="0028775A" w:rsidP="001072FF">
            <w:pPr>
              <w:spacing w:after="120"/>
              <w:rPr>
                <w:rFonts w:ascii="Arial" w:hAnsi="Arial" w:cs="Arial"/>
              </w:rPr>
            </w:pPr>
            <w:r w:rsidRPr="00F26AE2">
              <w:rPr>
                <w:rFonts w:ascii="Arial" w:hAnsi="Arial" w:cs="Arial"/>
              </w:rPr>
              <w:t xml:space="preserve">Sensitivity    </w:t>
            </w:r>
          </w:p>
        </w:tc>
        <w:tc>
          <w:tcPr>
            <w:tcW w:w="6228" w:type="dxa"/>
          </w:tcPr>
          <w:p w:rsidR="0028775A" w:rsidRPr="00F26AE2" w:rsidRDefault="0028775A" w:rsidP="001072FF">
            <w:pPr>
              <w:spacing w:after="120"/>
              <w:jc w:val="both"/>
              <w:rPr>
                <w:rFonts w:ascii="Arial" w:hAnsi="Arial" w:cs="Arial"/>
              </w:rPr>
            </w:pPr>
            <w:r w:rsidRPr="00761774">
              <w:rPr>
                <w:rFonts w:ascii="Arial" w:hAnsi="Arial" w:cs="Arial"/>
              </w:rPr>
              <w:t xml:space="preserve">&lt; 5 Pm or better </w:t>
            </w:r>
            <w:proofErr w:type="spellStart"/>
            <w:r w:rsidRPr="00761774">
              <w:rPr>
                <w:rFonts w:ascii="Arial" w:hAnsi="Arial" w:cs="Arial"/>
              </w:rPr>
              <w:t>Fluorescein</w:t>
            </w:r>
            <w:proofErr w:type="spellEnd"/>
            <w:r w:rsidRPr="00761774">
              <w:rPr>
                <w:rFonts w:ascii="Arial" w:hAnsi="Arial" w:cs="Arial"/>
              </w:rPr>
              <w:t xml:space="preserve"> with 96 &amp; 384 well plate reading</w:t>
            </w:r>
            <w:r w:rsidRPr="00F26AE2">
              <w:rPr>
                <w:rFonts w:ascii="Arial" w:hAnsi="Arial" w:cs="Arial"/>
              </w:rPr>
              <w:t xml:space="preserve">  </w:t>
            </w:r>
          </w:p>
        </w:tc>
      </w:tr>
      <w:tr w:rsidR="0028775A" w:rsidRPr="002E583F" w:rsidTr="001072FF">
        <w:trPr>
          <w:trHeight w:val="306"/>
        </w:trPr>
        <w:tc>
          <w:tcPr>
            <w:tcW w:w="828" w:type="dxa"/>
          </w:tcPr>
          <w:p w:rsidR="0028775A" w:rsidRPr="00F26AE2" w:rsidRDefault="0028775A" w:rsidP="001072FF">
            <w:pPr>
              <w:spacing w:after="120"/>
              <w:rPr>
                <w:rFonts w:ascii="Arial" w:hAnsi="Arial" w:cs="Arial"/>
              </w:rPr>
            </w:pPr>
            <w:r w:rsidRPr="00F26AE2">
              <w:rPr>
                <w:rFonts w:ascii="Arial" w:hAnsi="Arial" w:cs="Arial"/>
              </w:rPr>
              <w:t>6</w:t>
            </w:r>
          </w:p>
        </w:tc>
        <w:tc>
          <w:tcPr>
            <w:tcW w:w="2520" w:type="dxa"/>
          </w:tcPr>
          <w:p w:rsidR="0028775A" w:rsidRPr="00761774" w:rsidRDefault="0028775A" w:rsidP="001072FF">
            <w:pPr>
              <w:spacing w:after="120"/>
              <w:rPr>
                <w:rFonts w:ascii="Arial" w:hAnsi="Arial" w:cs="Arial"/>
              </w:rPr>
            </w:pPr>
            <w:r w:rsidRPr="00761774">
              <w:rPr>
                <w:rFonts w:ascii="Arial" w:hAnsi="Arial" w:cs="Arial"/>
              </w:rPr>
              <w:t>Auto PMT</w:t>
            </w:r>
          </w:p>
        </w:tc>
        <w:tc>
          <w:tcPr>
            <w:tcW w:w="6228" w:type="dxa"/>
          </w:tcPr>
          <w:p w:rsidR="0028775A" w:rsidRPr="00761774" w:rsidRDefault="0028775A" w:rsidP="001072FF">
            <w:pPr>
              <w:spacing w:after="120"/>
              <w:jc w:val="both"/>
              <w:rPr>
                <w:rFonts w:ascii="Arial" w:hAnsi="Arial" w:cs="Arial"/>
              </w:rPr>
            </w:pPr>
            <w:r w:rsidRPr="00761774">
              <w:rPr>
                <w:rFonts w:ascii="Arial" w:hAnsi="Arial" w:cs="Arial"/>
              </w:rPr>
              <w:t>System with Automatic Photomultiplier Tube (PMT) setting is preferable</w:t>
            </w:r>
          </w:p>
        </w:tc>
      </w:tr>
    </w:tbl>
    <w:p w:rsidR="0028775A" w:rsidRPr="00F26AE2" w:rsidRDefault="0028775A" w:rsidP="0028775A">
      <w:pPr>
        <w:spacing w:before="240" w:after="240" w:line="360" w:lineRule="auto"/>
        <w:rPr>
          <w:rFonts w:ascii="Arial" w:hAnsi="Arial" w:cs="Arial"/>
          <w:b/>
          <w:bCs/>
        </w:rPr>
      </w:pPr>
      <w:r w:rsidRPr="00F26AE2">
        <w:rPr>
          <w:rFonts w:ascii="Arial" w:hAnsi="Arial" w:cs="Arial"/>
          <w:b/>
        </w:rPr>
        <w:t>Luminescence Specification</w:t>
      </w:r>
      <w:r w:rsidRPr="00F26AE2">
        <w:rPr>
          <w:rFonts w:ascii="Arial" w:hAnsi="Arial" w:cs="Arial"/>
          <w:b/>
          <w:bCs/>
        </w:rPr>
        <w:t>:</w:t>
      </w:r>
    </w:p>
    <w:tbl>
      <w:tblPr>
        <w:tblStyle w:val="TableGrid"/>
        <w:tblW w:w="0" w:type="auto"/>
        <w:tblBorders>
          <w:top w:val="single" w:sz="18" w:space="0" w:color="00B050"/>
          <w:left w:val="none" w:sz="0" w:space="0" w:color="auto"/>
          <w:bottom w:val="single" w:sz="18" w:space="0" w:color="00B050"/>
          <w:right w:val="none" w:sz="0" w:space="0" w:color="auto"/>
          <w:insideH w:val="none" w:sz="0" w:space="0" w:color="auto"/>
          <w:insideV w:val="none" w:sz="0" w:space="0" w:color="auto"/>
        </w:tblBorders>
        <w:tblLook w:val="04A0"/>
      </w:tblPr>
      <w:tblGrid>
        <w:gridCol w:w="828"/>
        <w:gridCol w:w="2520"/>
        <w:gridCol w:w="6228"/>
      </w:tblGrid>
      <w:tr w:rsidR="0028775A" w:rsidTr="001072FF">
        <w:tc>
          <w:tcPr>
            <w:tcW w:w="828" w:type="dxa"/>
            <w:tcBorders>
              <w:top w:val="single" w:sz="18" w:space="0" w:color="00B050"/>
              <w:bottom w:val="single" w:sz="18" w:space="0" w:color="00B050"/>
            </w:tcBorders>
          </w:tcPr>
          <w:p w:rsidR="0028775A" w:rsidRPr="00F26AE2" w:rsidRDefault="0028775A" w:rsidP="001072FF">
            <w:pPr>
              <w:spacing w:after="120"/>
              <w:rPr>
                <w:rFonts w:ascii="Arial" w:hAnsi="Arial" w:cs="Arial"/>
                <w:b/>
              </w:rPr>
            </w:pPr>
            <w:r w:rsidRPr="00F26AE2">
              <w:rPr>
                <w:rFonts w:ascii="Arial" w:hAnsi="Arial" w:cs="Arial"/>
                <w:b/>
              </w:rPr>
              <w:t>S. No</w:t>
            </w:r>
          </w:p>
        </w:tc>
        <w:tc>
          <w:tcPr>
            <w:tcW w:w="2520" w:type="dxa"/>
            <w:tcBorders>
              <w:top w:val="single" w:sz="18" w:space="0" w:color="00B050"/>
              <w:bottom w:val="single" w:sz="18" w:space="0" w:color="00B050"/>
            </w:tcBorders>
          </w:tcPr>
          <w:p w:rsidR="0028775A" w:rsidRPr="00F26AE2" w:rsidRDefault="0028775A" w:rsidP="001072FF">
            <w:pPr>
              <w:spacing w:after="120"/>
              <w:rPr>
                <w:rFonts w:ascii="Arial" w:hAnsi="Arial" w:cs="Arial"/>
                <w:b/>
              </w:rPr>
            </w:pPr>
            <w:r w:rsidRPr="00F26AE2">
              <w:rPr>
                <w:rFonts w:ascii="Arial" w:hAnsi="Arial" w:cs="Arial"/>
                <w:b/>
              </w:rPr>
              <w:t>Specifications</w:t>
            </w:r>
          </w:p>
        </w:tc>
        <w:tc>
          <w:tcPr>
            <w:tcW w:w="6228" w:type="dxa"/>
            <w:tcBorders>
              <w:top w:val="single" w:sz="18" w:space="0" w:color="00B050"/>
              <w:bottom w:val="single" w:sz="18" w:space="0" w:color="00B050"/>
            </w:tcBorders>
          </w:tcPr>
          <w:p w:rsidR="0028775A" w:rsidRPr="00F26AE2" w:rsidRDefault="0028775A" w:rsidP="001072FF">
            <w:pPr>
              <w:spacing w:after="120"/>
              <w:rPr>
                <w:rFonts w:ascii="Arial" w:hAnsi="Arial" w:cs="Arial"/>
                <w:b/>
              </w:rPr>
            </w:pPr>
            <w:r w:rsidRPr="00F26AE2">
              <w:rPr>
                <w:rFonts w:ascii="Arial" w:hAnsi="Arial" w:cs="Arial"/>
                <w:b/>
              </w:rPr>
              <w:t>Descriptions</w:t>
            </w:r>
          </w:p>
        </w:tc>
      </w:tr>
      <w:tr w:rsidR="0028775A" w:rsidRPr="002E583F" w:rsidTr="001072FF">
        <w:trPr>
          <w:trHeight w:val="395"/>
        </w:trPr>
        <w:tc>
          <w:tcPr>
            <w:tcW w:w="828" w:type="dxa"/>
            <w:tcBorders>
              <w:top w:val="single" w:sz="18" w:space="0" w:color="00B050"/>
            </w:tcBorders>
          </w:tcPr>
          <w:p w:rsidR="0028775A" w:rsidRPr="00F26AE2" w:rsidRDefault="0028775A" w:rsidP="001072FF">
            <w:pPr>
              <w:spacing w:after="120"/>
              <w:rPr>
                <w:rFonts w:ascii="Arial" w:hAnsi="Arial" w:cs="Arial"/>
              </w:rPr>
            </w:pPr>
            <w:r w:rsidRPr="00F26AE2">
              <w:rPr>
                <w:rFonts w:ascii="Arial" w:hAnsi="Arial" w:cs="Arial"/>
              </w:rPr>
              <w:t>1</w:t>
            </w:r>
          </w:p>
        </w:tc>
        <w:tc>
          <w:tcPr>
            <w:tcW w:w="2520" w:type="dxa"/>
            <w:tcBorders>
              <w:top w:val="single" w:sz="18" w:space="0" w:color="00B050"/>
            </w:tcBorders>
          </w:tcPr>
          <w:p w:rsidR="0028775A" w:rsidRPr="00F26AE2" w:rsidRDefault="0028775A" w:rsidP="001072FF">
            <w:pPr>
              <w:spacing w:after="120"/>
              <w:rPr>
                <w:rFonts w:ascii="Arial" w:hAnsi="Arial" w:cs="Arial"/>
              </w:rPr>
            </w:pPr>
            <w:r w:rsidRPr="00F26AE2">
              <w:rPr>
                <w:rFonts w:ascii="Arial" w:hAnsi="Arial" w:cs="Arial"/>
              </w:rPr>
              <w:t xml:space="preserve">Reading Capabilities                             </w:t>
            </w:r>
          </w:p>
        </w:tc>
        <w:tc>
          <w:tcPr>
            <w:tcW w:w="6228" w:type="dxa"/>
            <w:tcBorders>
              <w:top w:val="single" w:sz="18" w:space="0" w:color="00B050"/>
            </w:tcBorders>
          </w:tcPr>
          <w:p w:rsidR="0028775A" w:rsidRPr="00F26AE2" w:rsidRDefault="0028775A" w:rsidP="001072FF">
            <w:pPr>
              <w:spacing w:after="120"/>
              <w:jc w:val="both"/>
              <w:rPr>
                <w:rFonts w:ascii="Arial" w:hAnsi="Arial" w:cs="Arial"/>
              </w:rPr>
            </w:pPr>
            <w:proofErr w:type="spellStart"/>
            <w:r w:rsidRPr="00F26AE2">
              <w:rPr>
                <w:rFonts w:ascii="Arial" w:hAnsi="Arial" w:cs="Arial"/>
              </w:rPr>
              <w:t>Cuvette</w:t>
            </w:r>
            <w:proofErr w:type="spellEnd"/>
            <w:r w:rsidRPr="00F26AE2">
              <w:rPr>
                <w:rFonts w:ascii="Arial" w:hAnsi="Arial" w:cs="Arial"/>
              </w:rPr>
              <w:t xml:space="preserve"> or top of a micro-plate</w:t>
            </w:r>
          </w:p>
        </w:tc>
      </w:tr>
      <w:tr w:rsidR="0028775A" w:rsidRPr="002E583F" w:rsidTr="001072FF">
        <w:trPr>
          <w:trHeight w:val="350"/>
        </w:trPr>
        <w:tc>
          <w:tcPr>
            <w:tcW w:w="828" w:type="dxa"/>
          </w:tcPr>
          <w:p w:rsidR="0028775A" w:rsidRPr="005572D0" w:rsidRDefault="0028775A" w:rsidP="001072FF">
            <w:pPr>
              <w:spacing w:after="120"/>
              <w:rPr>
                <w:rFonts w:ascii="Arial" w:hAnsi="Arial" w:cs="Arial"/>
              </w:rPr>
            </w:pPr>
            <w:r w:rsidRPr="005572D0">
              <w:rPr>
                <w:rFonts w:ascii="Arial" w:hAnsi="Arial" w:cs="Arial"/>
              </w:rPr>
              <w:t>2</w:t>
            </w:r>
          </w:p>
        </w:tc>
        <w:tc>
          <w:tcPr>
            <w:tcW w:w="2520" w:type="dxa"/>
          </w:tcPr>
          <w:p w:rsidR="0028775A" w:rsidRPr="005572D0" w:rsidRDefault="0028775A" w:rsidP="001072FF">
            <w:pPr>
              <w:spacing w:after="120"/>
              <w:rPr>
                <w:rFonts w:ascii="Arial" w:hAnsi="Arial" w:cs="Arial"/>
              </w:rPr>
            </w:pPr>
            <w:r w:rsidRPr="005572D0">
              <w:rPr>
                <w:rFonts w:ascii="Arial" w:hAnsi="Arial" w:cs="Arial"/>
              </w:rPr>
              <w:t xml:space="preserve">Wavelength range                    </w:t>
            </w:r>
          </w:p>
        </w:tc>
        <w:tc>
          <w:tcPr>
            <w:tcW w:w="6228" w:type="dxa"/>
          </w:tcPr>
          <w:p w:rsidR="0028775A" w:rsidRPr="005572D0" w:rsidRDefault="0028775A" w:rsidP="001072FF">
            <w:pPr>
              <w:spacing w:after="120"/>
              <w:jc w:val="both"/>
              <w:rPr>
                <w:rFonts w:ascii="Arial" w:hAnsi="Arial" w:cs="Arial"/>
              </w:rPr>
            </w:pPr>
            <w:r w:rsidRPr="005572D0">
              <w:rPr>
                <w:rFonts w:ascii="Arial" w:hAnsi="Arial" w:cs="Arial"/>
              </w:rPr>
              <w:t>230-850 nm or better</w:t>
            </w:r>
          </w:p>
        </w:tc>
      </w:tr>
      <w:tr w:rsidR="0028775A" w:rsidRPr="002E583F" w:rsidTr="001072FF">
        <w:trPr>
          <w:trHeight w:val="458"/>
        </w:trPr>
        <w:tc>
          <w:tcPr>
            <w:tcW w:w="828" w:type="dxa"/>
          </w:tcPr>
          <w:p w:rsidR="0028775A" w:rsidRPr="00F26AE2" w:rsidRDefault="0028775A" w:rsidP="001072FF">
            <w:pPr>
              <w:spacing w:after="120"/>
              <w:rPr>
                <w:rFonts w:ascii="Arial" w:hAnsi="Arial" w:cs="Arial"/>
              </w:rPr>
            </w:pPr>
            <w:r>
              <w:rPr>
                <w:rFonts w:ascii="Arial" w:hAnsi="Arial" w:cs="Arial"/>
              </w:rPr>
              <w:t>3</w:t>
            </w:r>
          </w:p>
        </w:tc>
        <w:tc>
          <w:tcPr>
            <w:tcW w:w="2520" w:type="dxa"/>
          </w:tcPr>
          <w:p w:rsidR="0028775A" w:rsidRPr="00F26AE2" w:rsidRDefault="0028775A" w:rsidP="001072FF">
            <w:pPr>
              <w:spacing w:after="120"/>
              <w:rPr>
                <w:rFonts w:ascii="Arial" w:hAnsi="Arial" w:cs="Arial"/>
              </w:rPr>
            </w:pPr>
            <w:r w:rsidRPr="00F26AE2">
              <w:rPr>
                <w:rFonts w:ascii="Arial" w:hAnsi="Arial" w:cs="Arial"/>
              </w:rPr>
              <w:t xml:space="preserve">Wavelength selection                            </w:t>
            </w:r>
          </w:p>
        </w:tc>
        <w:tc>
          <w:tcPr>
            <w:tcW w:w="6228" w:type="dxa"/>
          </w:tcPr>
          <w:p w:rsidR="0028775A" w:rsidRPr="00F26AE2" w:rsidRDefault="0028775A" w:rsidP="001072FF">
            <w:pPr>
              <w:spacing w:after="120"/>
              <w:jc w:val="both"/>
              <w:rPr>
                <w:rFonts w:ascii="Arial" w:hAnsi="Arial" w:cs="Arial"/>
              </w:rPr>
            </w:pPr>
            <w:r w:rsidRPr="00F26AE2">
              <w:rPr>
                <w:rFonts w:ascii="Arial" w:hAnsi="Arial" w:cs="Arial"/>
              </w:rPr>
              <w:t>All wavelengths or with selected wavelengths</w:t>
            </w:r>
          </w:p>
        </w:tc>
      </w:tr>
    </w:tbl>
    <w:p w:rsidR="0028775A" w:rsidRPr="00F26AE2" w:rsidRDefault="0028775A" w:rsidP="0028775A">
      <w:pPr>
        <w:spacing w:before="240" w:after="240"/>
        <w:jc w:val="both"/>
        <w:rPr>
          <w:rFonts w:ascii="Arial" w:hAnsi="Arial" w:cs="Arial"/>
          <w:b/>
          <w:sz w:val="28"/>
          <w:szCs w:val="28"/>
        </w:rPr>
      </w:pPr>
      <w:r w:rsidRPr="00F26AE2">
        <w:rPr>
          <w:rFonts w:ascii="Arial" w:hAnsi="Arial" w:cs="Arial"/>
          <w:b/>
          <w:sz w:val="28"/>
          <w:szCs w:val="28"/>
        </w:rPr>
        <w:t xml:space="preserve">Other Accessories </w:t>
      </w:r>
    </w:p>
    <w:p w:rsidR="0028775A" w:rsidRPr="005572D0" w:rsidRDefault="0028775A" w:rsidP="0028775A">
      <w:pPr>
        <w:jc w:val="both"/>
        <w:rPr>
          <w:rFonts w:ascii="Arial" w:hAnsi="Arial" w:cs="Arial"/>
          <w:color w:val="000000" w:themeColor="text1"/>
          <w:sz w:val="22"/>
          <w:szCs w:val="22"/>
        </w:rPr>
      </w:pPr>
      <w:r w:rsidRPr="005572D0">
        <w:rPr>
          <w:rFonts w:ascii="Arial" w:hAnsi="Arial" w:cs="Arial"/>
          <w:color w:val="000000" w:themeColor="text1"/>
          <w:sz w:val="22"/>
          <w:szCs w:val="22"/>
        </w:rPr>
        <w:t xml:space="preserve">Pack of 25 micro plates and micro </w:t>
      </w:r>
      <w:proofErr w:type="spellStart"/>
      <w:r w:rsidRPr="005572D0">
        <w:rPr>
          <w:rFonts w:ascii="Arial" w:hAnsi="Arial" w:cs="Arial"/>
          <w:color w:val="000000" w:themeColor="text1"/>
          <w:sz w:val="22"/>
          <w:szCs w:val="22"/>
        </w:rPr>
        <w:t>cuvette</w:t>
      </w:r>
      <w:proofErr w:type="spellEnd"/>
      <w:r w:rsidRPr="005572D0">
        <w:rPr>
          <w:rFonts w:ascii="Arial" w:hAnsi="Arial" w:cs="Arial"/>
          <w:color w:val="000000" w:themeColor="text1"/>
          <w:sz w:val="22"/>
          <w:szCs w:val="22"/>
        </w:rPr>
        <w:t xml:space="preserve"> (0.5 </w:t>
      </w:r>
      <w:proofErr w:type="spellStart"/>
      <w:r w:rsidRPr="005572D0">
        <w:rPr>
          <w:rFonts w:ascii="Arial" w:hAnsi="Arial" w:cs="Arial"/>
          <w:color w:val="000000" w:themeColor="text1"/>
          <w:sz w:val="22"/>
          <w:szCs w:val="22"/>
        </w:rPr>
        <w:t>mL</w:t>
      </w:r>
      <w:proofErr w:type="spellEnd"/>
      <w:r w:rsidRPr="005572D0">
        <w:rPr>
          <w:rFonts w:ascii="Arial" w:hAnsi="Arial" w:cs="Arial"/>
          <w:color w:val="000000" w:themeColor="text1"/>
          <w:sz w:val="22"/>
          <w:szCs w:val="22"/>
        </w:rPr>
        <w:t xml:space="preserve">) for Absorbance, Fluorescence intensities and Luminescence should be supplied along with system. </w:t>
      </w:r>
    </w:p>
    <w:p w:rsidR="0028775A" w:rsidRPr="00F26AE2" w:rsidRDefault="0028775A" w:rsidP="0028775A">
      <w:pPr>
        <w:jc w:val="both"/>
        <w:rPr>
          <w:sz w:val="22"/>
          <w:szCs w:val="22"/>
        </w:rPr>
      </w:pPr>
    </w:p>
    <w:p w:rsidR="0028775A" w:rsidRPr="00F26AE2" w:rsidRDefault="0028775A" w:rsidP="0028775A">
      <w:pPr>
        <w:spacing w:after="240"/>
        <w:rPr>
          <w:rFonts w:ascii="Arial" w:hAnsi="Arial" w:cs="Arial"/>
          <w:b/>
        </w:rPr>
      </w:pPr>
      <w:r w:rsidRPr="00F26AE2">
        <w:rPr>
          <w:rFonts w:ascii="Arial" w:hAnsi="Arial" w:cs="Arial"/>
          <w:b/>
        </w:rPr>
        <w:t xml:space="preserve">Data Acquisition </w:t>
      </w:r>
    </w:p>
    <w:p w:rsidR="0028775A" w:rsidRPr="00F26AE2" w:rsidRDefault="0028775A" w:rsidP="0028775A">
      <w:pPr>
        <w:pStyle w:val="ListParagraph"/>
        <w:numPr>
          <w:ilvl w:val="0"/>
          <w:numId w:val="1"/>
        </w:numPr>
        <w:spacing w:after="120"/>
        <w:ind w:left="720"/>
        <w:contextualSpacing w:val="0"/>
        <w:jc w:val="both"/>
        <w:rPr>
          <w:rFonts w:ascii="Arial" w:hAnsi="Arial" w:cs="Arial"/>
          <w:sz w:val="22"/>
          <w:szCs w:val="22"/>
        </w:rPr>
      </w:pPr>
      <w:r w:rsidRPr="00F26AE2">
        <w:rPr>
          <w:rFonts w:ascii="Arial" w:hAnsi="Arial" w:cs="Arial"/>
          <w:color w:val="000000"/>
          <w:sz w:val="22"/>
          <w:szCs w:val="22"/>
        </w:rPr>
        <w:t xml:space="preserve">Software integrated system, which provides data acquisition, analysis and management capabilities allowing cross-plate analysis and custom calculations. The  system should have a temperature independent path check technology built in hardware and software to reproduce the data similar to that of 96 and 384 </w:t>
      </w:r>
      <w:proofErr w:type="spellStart"/>
      <w:r w:rsidRPr="00F26AE2">
        <w:rPr>
          <w:rFonts w:ascii="Arial" w:hAnsi="Arial" w:cs="Arial"/>
          <w:color w:val="000000"/>
          <w:sz w:val="22"/>
          <w:szCs w:val="22"/>
        </w:rPr>
        <w:t>cuvettes</w:t>
      </w:r>
      <w:proofErr w:type="spellEnd"/>
      <w:r w:rsidRPr="00F26AE2">
        <w:rPr>
          <w:rFonts w:ascii="Arial" w:hAnsi="Arial" w:cs="Arial"/>
          <w:color w:val="000000"/>
          <w:sz w:val="22"/>
          <w:szCs w:val="22"/>
        </w:rPr>
        <w:t xml:space="preserve"> values as in spectrophotometer and without a need to export the data to a spreadsheet.</w:t>
      </w:r>
    </w:p>
    <w:p w:rsidR="0028775A" w:rsidRPr="00F26AE2" w:rsidRDefault="0028775A" w:rsidP="0028775A">
      <w:pPr>
        <w:pStyle w:val="ListParagraph"/>
        <w:numPr>
          <w:ilvl w:val="0"/>
          <w:numId w:val="1"/>
        </w:numPr>
        <w:spacing w:after="120"/>
        <w:ind w:left="720"/>
        <w:jc w:val="both"/>
        <w:rPr>
          <w:rFonts w:ascii="Arial" w:hAnsi="Arial" w:cs="Arial"/>
          <w:sz w:val="22"/>
          <w:szCs w:val="22"/>
        </w:rPr>
      </w:pPr>
      <w:r w:rsidRPr="00F26AE2">
        <w:rPr>
          <w:rFonts w:ascii="Arial" w:hAnsi="Arial" w:cs="Arial"/>
          <w:sz w:val="22"/>
          <w:szCs w:val="22"/>
        </w:rPr>
        <w:t>The system must be provided with a set of installation, operating and troubleshooting manuals both in paper and software forms.</w:t>
      </w:r>
    </w:p>
    <w:p w:rsidR="0028775A" w:rsidRPr="00F26AE2" w:rsidRDefault="0028775A" w:rsidP="0028775A">
      <w:pPr>
        <w:numPr>
          <w:ilvl w:val="0"/>
          <w:numId w:val="1"/>
        </w:numPr>
        <w:spacing w:after="120"/>
        <w:ind w:left="720"/>
        <w:jc w:val="both"/>
        <w:rPr>
          <w:rFonts w:ascii="Arial" w:hAnsi="Arial" w:cs="Arial"/>
          <w:sz w:val="22"/>
          <w:szCs w:val="22"/>
        </w:rPr>
      </w:pPr>
      <w:r w:rsidRPr="00F26AE2">
        <w:rPr>
          <w:rFonts w:ascii="Arial" w:hAnsi="Arial" w:cs="Arial"/>
          <w:sz w:val="22"/>
          <w:szCs w:val="22"/>
        </w:rPr>
        <w:t>A suitable PC compatible for the above instrument control should be supplied along with the instruments. The PC should meet the minimum requirements such as desktop with i-</w:t>
      </w:r>
      <w:r>
        <w:rPr>
          <w:rFonts w:ascii="Arial" w:hAnsi="Arial" w:cs="Arial"/>
          <w:sz w:val="22"/>
          <w:szCs w:val="22"/>
        </w:rPr>
        <w:t>5</w:t>
      </w:r>
      <w:r w:rsidRPr="00F26AE2">
        <w:rPr>
          <w:rFonts w:ascii="Arial" w:hAnsi="Arial" w:cs="Arial"/>
          <w:sz w:val="22"/>
          <w:szCs w:val="22"/>
        </w:rPr>
        <w:t xml:space="preserve"> Processor, 8 GB RAM, HD 500 GB or more, Windows 7 home basic or better and 24’’ or more LED monitor.</w:t>
      </w:r>
    </w:p>
    <w:p w:rsidR="0028775A" w:rsidRPr="00F26AE2" w:rsidRDefault="0028775A" w:rsidP="0028775A">
      <w:pPr>
        <w:pStyle w:val="ListParagraph"/>
        <w:numPr>
          <w:ilvl w:val="0"/>
          <w:numId w:val="1"/>
        </w:numPr>
        <w:spacing w:after="120"/>
        <w:ind w:left="720"/>
        <w:rPr>
          <w:rFonts w:ascii="Arial" w:hAnsi="Arial" w:cs="Arial"/>
          <w:color w:val="000000" w:themeColor="text1"/>
          <w:sz w:val="22"/>
          <w:szCs w:val="22"/>
        </w:rPr>
      </w:pPr>
      <w:r w:rsidRPr="00F26AE2">
        <w:rPr>
          <w:rFonts w:ascii="Arial" w:hAnsi="Arial" w:cs="Arial"/>
          <w:color w:val="000000" w:themeColor="text1"/>
          <w:sz w:val="22"/>
          <w:szCs w:val="22"/>
        </w:rPr>
        <w:t xml:space="preserve">Minimum 2 years warranty with 1 or 2 year free service will be preferred </w:t>
      </w:r>
    </w:p>
    <w:p w:rsidR="0028775A" w:rsidRPr="00F26AE2" w:rsidRDefault="0028775A" w:rsidP="0028775A">
      <w:pPr>
        <w:numPr>
          <w:ilvl w:val="0"/>
          <w:numId w:val="1"/>
        </w:numPr>
        <w:spacing w:after="120"/>
        <w:ind w:left="720"/>
        <w:jc w:val="both"/>
        <w:rPr>
          <w:rFonts w:ascii="Arial" w:hAnsi="Arial" w:cs="Arial"/>
          <w:sz w:val="22"/>
          <w:szCs w:val="22"/>
        </w:rPr>
      </w:pPr>
      <w:r w:rsidRPr="00F26AE2">
        <w:rPr>
          <w:rFonts w:ascii="Arial" w:hAnsi="Arial" w:cs="Arial"/>
          <w:sz w:val="22"/>
          <w:szCs w:val="22"/>
        </w:rPr>
        <w:t xml:space="preserve">A service center must be available in Chennai for service engineers to attend to the instrument for maintenance or troubleshooting. </w:t>
      </w:r>
    </w:p>
    <w:p w:rsidR="0028775A" w:rsidRPr="00F26AE2" w:rsidRDefault="0028775A" w:rsidP="0028775A">
      <w:pPr>
        <w:pStyle w:val="ListParagraph"/>
        <w:numPr>
          <w:ilvl w:val="0"/>
          <w:numId w:val="1"/>
        </w:numPr>
        <w:spacing w:after="120"/>
        <w:ind w:left="720"/>
        <w:jc w:val="both"/>
        <w:rPr>
          <w:rFonts w:ascii="Arial" w:hAnsi="Arial" w:cs="Arial"/>
          <w:sz w:val="22"/>
          <w:szCs w:val="22"/>
        </w:rPr>
      </w:pPr>
      <w:r w:rsidRPr="00F26AE2">
        <w:rPr>
          <w:rFonts w:ascii="Arial" w:hAnsi="Arial" w:cs="Arial"/>
          <w:sz w:val="22"/>
          <w:szCs w:val="22"/>
        </w:rPr>
        <w:t xml:space="preserve">On-site training for the operation of the hardware and software systems should be included. </w:t>
      </w:r>
    </w:p>
    <w:p w:rsidR="0028775A" w:rsidRDefault="0028775A" w:rsidP="0028775A">
      <w:pPr>
        <w:spacing w:after="120"/>
        <w:jc w:val="both"/>
        <w:rPr>
          <w:rFonts w:ascii="Arial" w:hAnsi="Arial" w:cs="Arial"/>
          <w:sz w:val="22"/>
          <w:szCs w:val="22"/>
        </w:rPr>
      </w:pPr>
    </w:p>
    <w:p w:rsidR="0028775A" w:rsidRDefault="0028775A" w:rsidP="0028775A">
      <w:pPr>
        <w:spacing w:after="120"/>
        <w:jc w:val="both"/>
        <w:rPr>
          <w:rFonts w:ascii="Arial" w:hAnsi="Arial" w:cs="Arial"/>
          <w:sz w:val="22"/>
          <w:szCs w:val="22"/>
        </w:rPr>
      </w:pPr>
    </w:p>
    <w:p w:rsidR="0028775A" w:rsidRDefault="0028775A" w:rsidP="0028775A">
      <w:pPr>
        <w:spacing w:after="120"/>
        <w:jc w:val="both"/>
        <w:rPr>
          <w:rFonts w:ascii="Arial" w:hAnsi="Arial" w:cs="Arial"/>
          <w:sz w:val="22"/>
          <w:szCs w:val="22"/>
        </w:rPr>
      </w:pPr>
    </w:p>
    <w:p w:rsidR="0028775A" w:rsidRDefault="0028775A" w:rsidP="0028775A">
      <w:pPr>
        <w:spacing w:after="120"/>
        <w:jc w:val="both"/>
        <w:rPr>
          <w:rFonts w:ascii="Arial" w:hAnsi="Arial" w:cs="Arial"/>
          <w:sz w:val="22"/>
          <w:szCs w:val="22"/>
        </w:rPr>
      </w:pPr>
    </w:p>
    <w:p w:rsidR="0028775A" w:rsidRDefault="0028775A" w:rsidP="0028775A">
      <w:pPr>
        <w:spacing w:after="120"/>
        <w:jc w:val="both"/>
        <w:rPr>
          <w:rFonts w:ascii="Arial" w:hAnsi="Arial" w:cs="Arial"/>
          <w:sz w:val="22"/>
          <w:szCs w:val="22"/>
        </w:rPr>
      </w:pPr>
    </w:p>
    <w:p w:rsidR="0028775A" w:rsidRDefault="0028775A" w:rsidP="0028775A">
      <w:pPr>
        <w:spacing w:after="120"/>
        <w:jc w:val="both"/>
        <w:rPr>
          <w:rFonts w:ascii="Arial" w:hAnsi="Arial" w:cs="Arial"/>
          <w:sz w:val="22"/>
          <w:szCs w:val="22"/>
        </w:rPr>
      </w:pPr>
    </w:p>
    <w:p w:rsidR="0028775A" w:rsidRDefault="0028775A" w:rsidP="0028775A">
      <w:pPr>
        <w:spacing w:after="120"/>
        <w:jc w:val="both"/>
        <w:rPr>
          <w:rFonts w:ascii="Arial" w:hAnsi="Arial" w:cs="Arial"/>
          <w:sz w:val="22"/>
          <w:szCs w:val="22"/>
        </w:rPr>
      </w:pPr>
    </w:p>
    <w:p w:rsidR="0028775A" w:rsidRDefault="0028775A" w:rsidP="0028775A">
      <w:pPr>
        <w:spacing w:after="120"/>
        <w:jc w:val="both"/>
        <w:rPr>
          <w:rFonts w:ascii="Arial" w:hAnsi="Arial" w:cs="Arial"/>
          <w:sz w:val="22"/>
          <w:szCs w:val="22"/>
        </w:rPr>
      </w:pPr>
    </w:p>
    <w:p w:rsidR="0028775A" w:rsidRDefault="0028775A" w:rsidP="0028775A">
      <w:pPr>
        <w:spacing w:after="120"/>
        <w:jc w:val="both"/>
        <w:rPr>
          <w:rFonts w:ascii="Arial" w:hAnsi="Arial" w:cs="Arial"/>
          <w:sz w:val="22"/>
          <w:szCs w:val="22"/>
        </w:rPr>
      </w:pPr>
    </w:p>
    <w:p w:rsidR="0028775A" w:rsidRDefault="0028775A" w:rsidP="0028775A">
      <w:pPr>
        <w:spacing w:after="120"/>
        <w:jc w:val="both"/>
        <w:rPr>
          <w:rFonts w:ascii="Arial" w:hAnsi="Arial" w:cs="Arial"/>
          <w:sz w:val="22"/>
          <w:szCs w:val="22"/>
        </w:rPr>
      </w:pPr>
    </w:p>
    <w:p w:rsidR="0028775A" w:rsidRDefault="0028775A" w:rsidP="0028775A">
      <w:pPr>
        <w:spacing w:after="120"/>
        <w:jc w:val="both"/>
        <w:rPr>
          <w:rFonts w:ascii="Arial" w:hAnsi="Arial" w:cs="Arial"/>
          <w:sz w:val="22"/>
          <w:szCs w:val="22"/>
        </w:rPr>
      </w:pPr>
    </w:p>
    <w:p w:rsidR="0028775A" w:rsidRDefault="0028775A" w:rsidP="0028775A">
      <w:pPr>
        <w:spacing w:after="120"/>
        <w:jc w:val="both"/>
        <w:rPr>
          <w:rFonts w:ascii="Arial" w:hAnsi="Arial" w:cs="Arial"/>
          <w:sz w:val="22"/>
          <w:szCs w:val="22"/>
        </w:rPr>
      </w:pPr>
    </w:p>
    <w:p w:rsidR="0028775A" w:rsidRDefault="0028775A" w:rsidP="0028775A">
      <w:pPr>
        <w:spacing w:after="120"/>
        <w:jc w:val="both"/>
        <w:rPr>
          <w:rFonts w:ascii="Arial" w:hAnsi="Arial" w:cs="Arial"/>
          <w:sz w:val="22"/>
          <w:szCs w:val="22"/>
        </w:rPr>
      </w:pPr>
    </w:p>
    <w:p w:rsidR="00B86089" w:rsidRDefault="00B86089" w:rsidP="00B91330">
      <w:pPr>
        <w:pStyle w:val="Default"/>
        <w:rPr>
          <w:szCs w:val="22"/>
        </w:rPr>
      </w:pPr>
    </w:p>
    <w:p w:rsidR="00B86089" w:rsidRDefault="00B86089" w:rsidP="00B91330">
      <w:pPr>
        <w:pStyle w:val="Default"/>
        <w:rPr>
          <w:szCs w:val="22"/>
        </w:rPr>
      </w:pPr>
    </w:p>
    <w:p w:rsidR="00B86089" w:rsidRDefault="00B86089" w:rsidP="00B91330">
      <w:pPr>
        <w:pStyle w:val="Default"/>
        <w:rPr>
          <w:szCs w:val="22"/>
        </w:rPr>
      </w:pPr>
    </w:p>
    <w:p w:rsidR="00B86089" w:rsidRDefault="00B86089" w:rsidP="00B91330">
      <w:pPr>
        <w:pStyle w:val="Default"/>
        <w:rPr>
          <w:szCs w:val="22"/>
        </w:rPr>
      </w:pPr>
    </w:p>
    <w:p w:rsidR="00B86089" w:rsidRDefault="00B86089" w:rsidP="00B91330">
      <w:pPr>
        <w:pStyle w:val="Default"/>
        <w:rPr>
          <w:szCs w:val="22"/>
        </w:rPr>
      </w:pPr>
    </w:p>
    <w:p w:rsidR="00B86089" w:rsidRDefault="00B86089" w:rsidP="00B91330">
      <w:pPr>
        <w:pStyle w:val="Default"/>
        <w:rPr>
          <w:szCs w:val="22"/>
        </w:rPr>
      </w:pPr>
    </w:p>
    <w:p w:rsidR="00B86089" w:rsidRDefault="00B86089" w:rsidP="00B91330">
      <w:pPr>
        <w:pStyle w:val="Default"/>
        <w:rPr>
          <w:szCs w:val="22"/>
        </w:rPr>
      </w:pPr>
    </w:p>
    <w:p w:rsidR="00B86089" w:rsidRDefault="00B86089" w:rsidP="00B91330">
      <w:pPr>
        <w:pStyle w:val="Default"/>
        <w:rPr>
          <w:szCs w:val="22"/>
        </w:rPr>
      </w:pPr>
    </w:p>
    <w:p w:rsidR="00B86089" w:rsidRDefault="00B86089" w:rsidP="00B91330">
      <w:pPr>
        <w:pStyle w:val="Default"/>
        <w:rPr>
          <w:szCs w:val="22"/>
        </w:rPr>
      </w:pPr>
    </w:p>
    <w:p w:rsidR="00B86089" w:rsidRDefault="00B86089" w:rsidP="00B91330">
      <w:pPr>
        <w:pStyle w:val="Default"/>
        <w:rPr>
          <w:szCs w:val="22"/>
        </w:rPr>
      </w:pPr>
    </w:p>
    <w:p w:rsidR="00B86089" w:rsidRDefault="00B86089" w:rsidP="00B91330">
      <w:pPr>
        <w:pStyle w:val="Default"/>
        <w:rPr>
          <w:szCs w:val="22"/>
        </w:rPr>
      </w:pPr>
    </w:p>
    <w:sectPr w:rsidR="00B86089" w:rsidSect="00DF7D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57C52"/>
    <w:multiLevelType w:val="hybridMultilevel"/>
    <w:tmpl w:val="33C0B89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D6268F"/>
    <w:rsid w:val="00046BB4"/>
    <w:rsid w:val="001419D1"/>
    <w:rsid w:val="00183401"/>
    <w:rsid w:val="002567FC"/>
    <w:rsid w:val="0028775A"/>
    <w:rsid w:val="004F7EB0"/>
    <w:rsid w:val="00622EA6"/>
    <w:rsid w:val="006711CB"/>
    <w:rsid w:val="006D3900"/>
    <w:rsid w:val="007A019B"/>
    <w:rsid w:val="00801100"/>
    <w:rsid w:val="008C05EC"/>
    <w:rsid w:val="008F0A9C"/>
    <w:rsid w:val="00946C30"/>
    <w:rsid w:val="00A17D38"/>
    <w:rsid w:val="00A92997"/>
    <w:rsid w:val="00B71D98"/>
    <w:rsid w:val="00B86089"/>
    <w:rsid w:val="00B91330"/>
    <w:rsid w:val="00CB4C64"/>
    <w:rsid w:val="00D25F5C"/>
    <w:rsid w:val="00D6268F"/>
    <w:rsid w:val="00DF7DF3"/>
    <w:rsid w:val="00E2377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5A"/>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268F"/>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uiPriority w:val="99"/>
    <w:semiHidden/>
    <w:unhideWhenUsed/>
    <w:rsid w:val="00D6268F"/>
    <w:rPr>
      <w:rFonts w:ascii="Tahoma" w:hAnsi="Tahoma" w:cs="Mangal"/>
      <w:sz w:val="16"/>
      <w:szCs w:val="14"/>
    </w:rPr>
  </w:style>
  <w:style w:type="character" w:customStyle="1" w:styleId="BalloonTextChar">
    <w:name w:val="Balloon Text Char"/>
    <w:basedOn w:val="DefaultParagraphFont"/>
    <w:link w:val="BalloonText"/>
    <w:uiPriority w:val="99"/>
    <w:semiHidden/>
    <w:rsid w:val="00D6268F"/>
    <w:rPr>
      <w:rFonts w:ascii="Tahoma" w:hAnsi="Tahoma" w:cs="Mangal"/>
      <w:sz w:val="16"/>
      <w:szCs w:val="14"/>
    </w:rPr>
  </w:style>
  <w:style w:type="paragraph" w:styleId="ListParagraph">
    <w:name w:val="List Paragraph"/>
    <w:basedOn w:val="Normal"/>
    <w:uiPriority w:val="34"/>
    <w:qFormat/>
    <w:rsid w:val="0028775A"/>
    <w:pPr>
      <w:ind w:left="720"/>
      <w:contextualSpacing/>
    </w:pPr>
  </w:style>
  <w:style w:type="table" w:styleId="TableGrid">
    <w:name w:val="Table Grid"/>
    <w:basedOn w:val="TableNormal"/>
    <w:uiPriority w:val="59"/>
    <w:rsid w:val="0028775A"/>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1117</Words>
  <Characters>6370</Characters>
  <Application>Microsoft Office Word</Application>
  <DocSecurity>0</DocSecurity>
  <Lines>53</Lines>
  <Paragraphs>14</Paragraphs>
  <ScaleCrop>false</ScaleCrop>
  <Company/>
  <LinksUpToDate>false</LinksUpToDate>
  <CharactersWithSpaces>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17</cp:revision>
  <cp:lastPrinted>2015-06-15T04:40:00Z</cp:lastPrinted>
  <dcterms:created xsi:type="dcterms:W3CDTF">2015-06-15T03:37:00Z</dcterms:created>
  <dcterms:modified xsi:type="dcterms:W3CDTF">2015-08-10T05:22:00Z</dcterms:modified>
</cp:coreProperties>
</file>